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China</w:t>
      </w:r>
      <w:r>
        <w:t xml:space="preserve"> </w:t>
      </w:r>
      <w:r>
        <w:t xml:space="preserve">Guangzhou</w:t>
      </w:r>
    </w:p>
    <w:bookmarkStart w:id="27" w:name="social-worker-in-china-guangzhou"/>
    <w:p>
      <w:pPr>
        <w:pStyle w:val="Heading1"/>
      </w:pPr>
      <w:r>
        <w:t xml:space="preserve">Social Worker in China Guangzhou</w:t>
      </w:r>
    </w:p>
    <w:p>
      <w:pPr>
        <w:pStyle w:val="FirstParagraph"/>
      </w:pPr>
      <w:r>
        <w:rPr>
          <w:bCs/>
          <w:b/>
        </w:rPr>
        <w:t xml:space="preserve">Title:</w:t>
      </w:r>
      <w:r>
        <w:br/>
      </w:r>
      <w:r>
        <w:t xml:space="preserve">The Social Worker in China Guangzhou</w:t>
      </w:r>
      <w:r>
        <w:br/>
      </w:r>
      <w:r>
        <w:br/>
      </w:r>
      <w:r>
        <w:rPr>
          <w:bCs/>
          <w:b/>
        </w:rPr>
        <w:t xml:space="preserve">Type:</w:t>
      </w:r>
      <w:r>
        <w:br/>
      </w:r>
      <w:r>
        <w:t xml:space="preserve">Sociological Analysis &amp; Professional Overview</w:t>
      </w:r>
      <w:r>
        <w:br/>
      </w:r>
      <w:r>
        <w:br/>
      </w:r>
      <w:r>
        <w:rPr>
          <w:bCs/>
          <w:b/>
        </w:rPr>
        <w:t xml:space="preserve">Date of Publication/Preparation:</w:t>
      </w:r>
      <w:r>
        <w:br/>
      </w:r>
      <w:r>
        <w:t xml:space="preserve">2023-2024 Academic Review Period</w:t>
      </w:r>
      <w:r>
        <w:br/>
      </w:r>
      <w:r>
        <w:br/>
      </w:r>
      <w:r>
        <w:rPr>
          <w:bCs/>
          <w:b/>
        </w:rPr>
        <w:t xml:space="preserve">Evaluator’s Focus:</w:t>
      </w:r>
      <w:r>
        <w:br/>
      </w:r>
      <w:r>
        <w:t xml:space="preserve">The intersection of modern social work, the specific socio-economic landscape of China Guangzhou, and professional identity.</w:t>
      </w:r>
    </w:p>
    <w:bookmarkStart w:id="20" w:name="i.-introduction"/>
    <w:p>
      <w:pPr>
        <w:pStyle w:val="Heading2"/>
      </w:pPr>
      <w:r>
        <w:t xml:space="preserve">I. Introduction</w:t>
      </w:r>
    </w:p>
    <w:p>
      <w:pPr>
        <w:pStyle w:val="FirstParagraph"/>
      </w:pPr>
      <w:r>
        <w:t xml:space="preserve">The document titled "The Social Worker in China Guangzhou" serves not merely as a description of a job title, but as a profound exploration of how the concept of the</w:t>
      </w:r>
      <w:r>
        <w:t xml:space="preserve"> </w:t>
      </w:r>
      <w:r>
        <w:rPr>
          <w:bCs/>
          <w:b/>
        </w:rPr>
        <w:t xml:space="preserve">Social Worker</w:t>
      </w:r>
      <w:r>
        <w:t xml:space="preserve"> </w:t>
      </w:r>
      <w:r>
        <w:t xml:space="preserve">is being redefined within one of China’s most dynamic metropolitan areas. To understand this text, one must first recognize that</w:t>
      </w:r>
      <w:r>
        <w:t xml:space="preserve"> </w:t>
      </w:r>
      <w:r>
        <w:rPr>
          <w:bCs/>
          <w:b/>
        </w:rPr>
        <w:t xml:space="preserve">China Guangzhou</w:t>
      </w:r>
      <w:r>
        <w:t xml:space="preserve"> </w:t>
      </w:r>
      <w:r>
        <w:t xml:space="preserve">represents a unique microcosm of rapid urbanization, cultural synthesis, and state-led development. In this context, the role of the</w:t>
      </w:r>
      <w:r>
        <w:t xml:space="preserve"> </w:t>
      </w:r>
      <w:r>
        <w:rPr>
          <w:bCs/>
          <w:b/>
        </w:rPr>
        <w:t xml:space="preserve">Social Worker</w:t>
      </w:r>
      <w:r>
        <w:t xml:space="preserve"> </w:t>
      </w:r>
      <w:r>
        <w:t xml:space="preserve">transcends traditional Western definitions of charity or counseling; it becomes a critical mechanism for social stability, community governance, and individual empowerment.</w:t>
      </w:r>
    </w:p>
    <w:p>
      <w:pPr>
        <w:pStyle w:val="BodyText"/>
      </w:pPr>
      <w:r>
        <w:t xml:space="preserve">This book report analyzes the narrative structure and thematic depth of works that focus on this specific demographic. By examining how the text portrays the daily realities, challenges, and triumphs of practitioners in</w:t>
      </w:r>
      <w:r>
        <w:t xml:space="preserve"> </w:t>
      </w:r>
      <w:r>
        <w:rPr>
          <w:bCs/>
          <w:b/>
        </w:rPr>
        <w:t xml:space="preserve">China Guangzhou</w:t>
      </w:r>
      <w:r>
        <w:t xml:space="preserve">, we gain insight into a sector that is rapidly evolving from a peripheral activity to a central pillar of public service infrastructure.</w:t>
      </w:r>
    </w:p>
    <w:bookmarkEnd w:id="20"/>
    <w:bookmarkStart w:id="21" w:name="ii.-contextualizing-china-guangzhou"/>
    <w:p>
      <w:pPr>
        <w:pStyle w:val="Heading2"/>
      </w:pPr>
      <w:r>
        <w:t xml:space="preserve">II. Contextualizing China Guangzhou</w:t>
      </w:r>
    </w:p>
    <w:p>
      <w:pPr>
        <w:pStyle w:val="FirstParagraph"/>
      </w:pPr>
      <w:r>
        <w:t xml:space="preserve">A significant portion of the text is dedicated to establishing the setting:</w:t>
      </w:r>
      <w:r>
        <w:t xml:space="preserve"> </w:t>
      </w:r>
      <w:r>
        <w:rPr>
          <w:bCs/>
          <w:b/>
        </w:rPr>
        <w:t xml:space="preserve">China Guangzhou</w:t>
      </w:r>
      <w:r>
        <w:t xml:space="preserve">. The city is described with nuance, highlighting its status as a historical port and a modern hub of technology and trade. However, the narrative does not shy away from the complexities inherent in such a sprawling metropolis. The contrast between established neighborhoods in Yuexiu District and the bustling migrant communities in Panyu or Baiyun District provides a critical backdrop for understanding why social work is necessary.</w:t>
      </w:r>
    </w:p>
    <w:p>
      <w:pPr>
        <w:pStyle w:val="BodyText"/>
      </w:pPr>
      <w:r>
        <w:t xml:space="preserve">The text effectively argues that</w:t>
      </w:r>
      <w:r>
        <w:t xml:space="preserve"> </w:t>
      </w:r>
      <w:r>
        <w:rPr>
          <w:bCs/>
          <w:b/>
        </w:rPr>
        <w:t xml:space="preserve">China Guangzhou</w:t>
      </w:r>
      <w:r>
        <w:t xml:space="preserve"> </w:t>
      </w:r>
      <w:r>
        <w:t xml:space="preserve">is undergoing a demographic shift. The influx of rural migrants, an aging population requiring care, and the rise of digital inequality have created new social fractures. It is into these cracks that the figure of the</w:t>
      </w:r>
      <w:r>
        <w:t xml:space="preserve"> </w:t>
      </w:r>
      <w:r>
        <w:rPr>
          <w:bCs/>
          <w:b/>
        </w:rPr>
        <w:t xml:space="preserve">Social Worker</w:t>
      </w:r>
      <w:r>
        <w:t xml:space="preserve"> </w:t>
      </w:r>
      <w:r>
        <w:t xml:space="preserve">steps in. The report emphasizes that one cannot understand the profession without understanding this specific geographic and socio-economic context.</w:t>
      </w:r>
    </w:p>
    <w:bookmarkEnd w:id="21"/>
    <w:bookmarkStart w:id="22" w:name="iii.-defining-the-social-worker-identity"/>
    <w:p>
      <w:pPr>
        <w:pStyle w:val="Heading2"/>
      </w:pPr>
      <w:r>
        <w:t xml:space="preserve">III. Defining the Social Worker Identity</w:t>
      </w:r>
    </w:p>
    <w:p>
      <w:pPr>
        <w:pStyle w:val="FirstParagraph"/>
      </w:pPr>
      <w:r>
        <w:t xml:space="preserve">The core of the document explores what it means to be a</w:t>
      </w:r>
      <w:r>
        <w:t xml:space="preserve"> </w:t>
      </w:r>
      <w:r>
        <w:rPr>
          <w:bCs/>
          <w:b/>
        </w:rPr>
        <w:t xml:space="preserve">Social Worker</w:t>
      </w:r>
      <w:r>
        <w:t xml:space="preserve">. Traditionally, in many parts of Asia, social services were provided by family units or state administrative bureaus (such as the Civil Affairs Bureau). However, this text highlights a paradigm shift. The modern</w:t>
      </w:r>
      <w:r>
        <w:t xml:space="preserve"> </w:t>
      </w:r>
      <w:r>
        <w:rPr>
          <w:bCs/>
          <w:b/>
        </w:rPr>
        <w:t xml:space="preserve">Social Worker</w:t>
      </w:r>
      <w:r>
        <w:t xml:space="preserve"> </w:t>
      </w:r>
      <w:r>
        <w:t xml:space="preserve">in</w:t>
      </w:r>
      <w:r>
        <w:t xml:space="preserve"> </w:t>
      </w:r>
      <w:r>
        <w:rPr>
          <w:bCs/>
          <w:b/>
        </w:rPr>
        <w:t xml:space="preserve">China Guangzhou</w:t>
      </w:r>
      <w:r>
        <w:t xml:space="preserve"> </w:t>
      </w:r>
      <w:r>
        <w:t xml:space="preserve">is depicted as a professional intermediary who bridges the gap between rigid government policies and the fluid, often chaotic needs of individual citizens.</w:t>
      </w:r>
    </w:p>
    <w:p>
      <w:pPr>
        <w:pStyle w:val="BodyText"/>
      </w:pPr>
      <w:r>
        <w:t xml:space="preserve">The narrative details several archetypes of social workers encountered in the field:</w:t>
      </w:r>
    </w:p>
    <w:p>
      <w:pPr>
        <w:numPr>
          <w:ilvl w:val="0"/>
          <w:numId w:val="1001"/>
        </w:numPr>
        <w:pStyle w:val="Compact"/>
      </w:pPr>
      <w:r>
        <w:rPr>
          <w:bCs/>
          <w:b/>
        </w:rPr>
        <w:t xml:space="preserve">The Community Integrator:</w:t>
      </w:r>
      <w:r>
        <w:t xml:space="preserve"> </w:t>
      </w:r>
      <w:r>
        <w:t xml:space="preserve">Working primarily with migrant populations to foster a sense of belonging and access to local resources.</w:t>
      </w:r>
    </w:p>
    <w:p>
      <w:pPr>
        <w:numPr>
          <w:ilvl w:val="0"/>
          <w:numId w:val="1001"/>
        </w:numPr>
        <w:pStyle w:val="Compact"/>
      </w:pPr>
      <w:r>
        <w:rPr>
          <w:bCs/>
          <w:b/>
        </w:rPr>
        <w:t xml:space="preserve">The Elderly Care Specialist:</w:t>
      </w:r>
      <w:r>
        <w:t xml:space="preserve"> </w:t>
      </w:r>
      <w:r>
        <w:t xml:space="preserve">Addressing the "silver tsunami" by coordinating home-care services and psychological support for seniors.</w:t>
      </w:r>
    </w:p>
    <w:p>
      <w:pPr>
        <w:numPr>
          <w:ilvl w:val="0"/>
          <w:numId w:val="1001"/>
        </w:numPr>
        <w:pStyle w:val="Compact"/>
      </w:pPr>
      <w:r>
        <w:rPr>
          <w:bCs/>
          <w:b/>
        </w:rPr>
        <w:t xml:space="preserve">The Youth Counselor:</w:t>
      </w:r>
      <w:r>
        <w:t xml:space="preserve"> </w:t>
      </w:r>
      <w:r>
        <w:t xml:space="preserve">Navigating the high-pressure educational environment of Chinese youth, providing mental health support amidst academic stress.</w:t>
      </w:r>
    </w:p>
    <w:p>
      <w:pPr>
        <w:pStyle w:val="FirstParagraph"/>
      </w:pPr>
      <w:r>
        <w:t xml:space="preserve">The text insists that being a</w:t>
      </w:r>
      <w:r>
        <w:t xml:space="preserve"> </w:t>
      </w:r>
      <w:r>
        <w:rPr>
          <w:bCs/>
          <w:b/>
        </w:rPr>
        <w:t xml:space="preserve">Social Worker</w:t>
      </w:r>
      <w:r>
        <w:t xml:space="preserve"> </w:t>
      </w:r>
      <w:r>
        <w:t xml:space="preserve">in this region requires a unique blend of empathy, political acumen, and cultural sensitivity. It is not enough to simply offer aid; the worker must navigate complex bureaucratic systems while maintaining professional boundaries.</w:t>
      </w:r>
    </w:p>
    <w:bookmarkEnd w:id="22"/>
    <w:bookmarkStart w:id="23" w:name="iv.-key-themes-and-challenges"/>
    <w:p>
      <w:pPr>
        <w:pStyle w:val="Heading2"/>
      </w:pPr>
      <w:r>
        <w:t xml:space="preserve">IV. Key Themes and Challenges</w:t>
      </w:r>
    </w:p>
    <w:p>
      <w:pPr>
        <w:pStyle w:val="FirstParagraph"/>
      </w:pPr>
      <w:r>
        <w:rPr>
          <w:bCs/>
          <w:b/>
        </w:rPr>
        <w:t xml:space="preserve">The Tension Between Professionalism and Administration:</w:t>
      </w:r>
      <w:r>
        <w:br/>
      </w:r>
      <w:r>
        <w:t xml:space="preserve">A major theme identified in the text is the tension between social work as a helping profession and its current role within government-administered grids. In</w:t>
      </w:r>
      <w:r>
        <w:t xml:space="preserve"> </w:t>
      </w:r>
      <w:r>
        <w:rPr>
          <w:bCs/>
          <w:b/>
        </w:rPr>
        <w:t xml:space="preserve">China Guangzhou</w:t>
      </w:r>
      <w:r>
        <w:t xml:space="preserve">, many social workers are employed by NGOs funded by municipal governments. The book report notes that this creates a dual pressure: workers must fulfill administrative quotas while genuinely connecting with clients. This duality is presented as the defining challenge of the modern</w:t>
      </w:r>
      <w:r>
        <w:t xml:space="preserve"> </w:t>
      </w:r>
      <w:r>
        <w:rPr>
          <w:bCs/>
          <w:b/>
        </w:rPr>
        <w:t xml:space="preserve">Social Worker</w:t>
      </w:r>
      <w:r>
        <w:t xml:space="preserve">.</w:t>
      </w:r>
    </w:p>
    <w:p>
      <w:pPr>
        <w:pStyle w:val="BodyText"/>
      </w:pPr>
      <w:r>
        <w:rPr>
          <w:bCs/>
          <w:b/>
        </w:rPr>
        <w:t xml:space="preserve">Stigma and Recognition:</w:t>
      </w:r>
      <w:r>
        <w:br/>
      </w:r>
      <w:r>
        <w:t xml:space="preserve">The document explores how the general public in</w:t>
      </w:r>
      <w:r>
        <w:t xml:space="preserve"> </w:t>
      </w:r>
      <w:r>
        <w:rPr>
          <w:bCs/>
          <w:b/>
        </w:rPr>
        <w:t xml:space="preserve">China Guangzhou</w:t>
      </w:r>
      <w:r>
        <w:t xml:space="preserve"> </w:t>
      </w:r>
      <w:r>
        <w:t xml:space="preserve">perceives social workers. Initially viewed merely as volunteers or government aides, there is a growing recognition of their professional expertise. However, stigma remains, particularly when dealing with sensitive issues like mental health or domestic abuse. The text argues that building this trust is the slowest but most important part of the job.</w:t>
      </w:r>
    </w:p>
    <w:p>
      <w:pPr>
        <w:pStyle w:val="BodyText"/>
      </w:pPr>
      <w:r>
        <w:rPr>
          <w:bCs/>
          <w:b/>
        </w:rPr>
        <w:t xml:space="preserve">Technology and Innovation:</w:t>
      </w:r>
      <w:r>
        <w:br/>
      </w:r>
      <w:r>
        <w:t xml:space="preserve">Innovation in social work is a recurring motif. The text highlights how digital platforms, mini-programs on WeChat, and big data analytics are being utilized by</w:t>
      </w:r>
      <w:r>
        <w:t xml:space="preserve"> </w:t>
      </w:r>
      <w:r>
        <w:rPr>
          <w:bCs/>
          <w:b/>
        </w:rPr>
        <w:t xml:space="preserve">Social Workers</w:t>
      </w:r>
      <w:r>
        <w:t xml:space="preserve"> </w:t>
      </w:r>
      <w:r>
        <w:t xml:space="preserve">in</w:t>
      </w:r>
      <w:r>
        <w:t xml:space="preserve"> </w:t>
      </w:r>
      <w:r>
        <w:rPr>
          <w:bCs/>
          <w:b/>
        </w:rPr>
        <w:t xml:space="preserve">China Guangzhou</w:t>
      </w:r>
      <w:r>
        <w:t xml:space="preserve">. For instance, apps that match elderly residents with volunteers or systems that track at-risk youth demonstrate how technology is reshaping the profession.</w:t>
      </w:r>
    </w:p>
    <w:bookmarkEnd w:id="23"/>
    <w:bookmarkStart w:id="24" w:name="v.-case-studies-from-the-field"/>
    <w:p>
      <w:pPr>
        <w:pStyle w:val="Heading2"/>
      </w:pPr>
      <w:r>
        <w:t xml:space="preserve">V. Case Studies from the Field</w:t>
      </w:r>
    </w:p>
    <w:p>
      <w:pPr>
        <w:pStyle w:val="FirstParagraph"/>
      </w:pPr>
      <w:r>
        <w:t xml:space="preserve">To ground the theoretical discussions, the text provides several vivid case studies set in specific neighborhoods of</w:t>
      </w:r>
      <w:r>
        <w:t xml:space="preserve"> </w:t>
      </w:r>
      <w:r>
        <w:rPr>
          <w:bCs/>
          <w:b/>
        </w:rPr>
        <w:t xml:space="preserve">China Guangzhou</w:t>
      </w:r>
      <w:r>
        <w:t xml:space="preserve">. One compelling story details a social worker helping a left-behind child adjust to urban life after moving from a rural province. Another narrative focuses on an elderly woman living alone who finds community through neighborhood-based social work centers.</w:t>
      </w:r>
    </w:p>
    <w:p>
      <w:pPr>
        <w:pStyle w:val="BodyText"/>
      </w:pPr>
      <w:r>
        <w:t xml:space="preserve">These case studies serve to humanize the statistics. They illustrate that the</w:t>
      </w:r>
      <w:r>
        <w:t xml:space="preserve"> </w:t>
      </w:r>
      <w:r>
        <w:rPr>
          <w:bCs/>
          <w:b/>
        </w:rPr>
        <w:t xml:space="preserve">Social Worker</w:t>
      </w:r>
      <w:r>
        <w:t xml:space="preserve"> </w:t>
      </w:r>
      <w:r>
        <w:t xml:space="preserve">is not just a policy implementer but a neighbor, a listener, and sometimes a advocate. The emotional resilience required for these roles in such high-density living environments is palpable in the writing.</w:t>
      </w:r>
    </w:p>
    <w:bookmarkEnd w:id="24"/>
    <w:bookmarkStart w:id="25" w:name="vi.-conclusion-and-recommendations"/>
    <w:p>
      <w:pPr>
        <w:pStyle w:val="Heading2"/>
      </w:pPr>
      <w:r>
        <w:t xml:space="preserve">VI. Conclusion and Recommendations</w:t>
      </w:r>
    </w:p>
    <w:p>
      <w:pPr>
        <w:pStyle w:val="FirstParagraph"/>
      </w:pPr>
      <w:r>
        <w:t xml:space="preserve">In conclusion, the analysis of "The Social Worker in China Guangzhou" reveals a profession at a pivotal crossroads. It is shedding its amateur roots and becoming a regulated, respected profession that is essential to the fabric of society in one of Asia’s most important cities.</w:t>
      </w:r>
    </w:p>
    <w:p>
      <w:pPr>
        <w:pStyle w:val="BodyText"/>
      </w:pPr>
      <w:r>
        <w:t xml:space="preserve">For students and practitioners interested in this field, the text offers several recommendations:</w:t>
      </w:r>
    </w:p>
    <w:p>
      <w:pPr>
        <w:numPr>
          <w:ilvl w:val="0"/>
          <w:numId w:val="1002"/>
        </w:numPr>
        <w:pStyle w:val="Compact"/>
      </w:pPr>
      <w:r>
        <w:rPr>
          <w:bCs/>
          <w:b/>
        </w:rPr>
        <w:t xml:space="preserve">Cultural Immersion:</w:t>
      </w:r>
      <w:r>
        <w:t xml:space="preserve"> </w:t>
      </w:r>
      <w:r>
        <w:t xml:space="preserve">Understanding local dialects and customs (Cantonese culture specifically) is crucial for effective engagement in</w:t>
      </w:r>
      <w:r>
        <w:t xml:space="preserve"> </w:t>
      </w:r>
      <w:r>
        <w:rPr>
          <w:bCs/>
          <w:b/>
        </w:rPr>
        <w:t xml:space="preserve">China Guangzhou</w:t>
      </w:r>
      <w:r>
        <w:t xml:space="preserve">.</w:t>
      </w:r>
    </w:p>
    <w:p>
      <w:pPr>
        <w:numPr>
          <w:ilvl w:val="0"/>
          <w:numId w:val="1002"/>
        </w:numPr>
        <w:pStyle w:val="Compact"/>
      </w:pPr>
      <w:r>
        <w:rPr>
          <w:bCs/>
          <w:b/>
        </w:rPr>
        <w:t xml:space="preserve">Polycentric Networking:</w:t>
      </w:r>
      <w:r>
        <w:t xml:space="preserve"> </w:t>
      </w:r>
      <w:r>
        <w:t xml:space="preserve">Successful social workers build networks across government, NGOs, and community groups.</w:t>
      </w:r>
    </w:p>
    <w:p>
      <w:pPr>
        <w:numPr>
          <w:ilvl w:val="0"/>
          <w:numId w:val="1002"/>
        </w:numPr>
        <w:pStyle w:val="Compact"/>
      </w:pPr>
      <w:r>
        <w:rPr>
          <w:bCs/>
          <w:b/>
        </w:rPr>
        <w:t xml:space="preserve">Lifelong Learning:</w:t>
      </w:r>
      <w:r>
        <w:t xml:space="preserve"> </w:t>
      </w:r>
      <w:r>
        <w:t xml:space="preserve">As the needs of the population in</w:t>
      </w:r>
      <w:r>
        <w:t xml:space="preserve"> </w:t>
      </w:r>
      <w:r>
        <w:rPr>
          <w:bCs/>
          <w:b/>
        </w:rPr>
        <w:t xml:space="preserve">Social Worker</w:t>
      </w:r>
      <w:r>
        <w:t xml:space="preserve">-served areas evolve, so too must the skills and knowledge base of the professional.</w:t>
      </w:r>
    </w:p>
    <w:p>
      <w:pPr>
        <w:pStyle w:val="FirstParagraph"/>
      </w:pPr>
      <w:r>
        <w:t xml:space="preserve">The text ultimately posits that the story of the</w:t>
      </w:r>
      <w:r>
        <w:t xml:space="preserve"> </w:t>
      </w:r>
      <w:r>
        <w:rPr>
          <w:bCs/>
          <w:b/>
        </w:rPr>
        <w:t xml:space="preserve">Social Worker</w:t>
      </w:r>
      <w:r>
        <w:t xml:space="preserve"> </w:t>
      </w:r>
      <w:r>
        <w:t xml:space="preserve">is inextricably linked to China’s broader narrative of modernization. To work as a</w:t>
      </w:r>
      <w:r>
        <w:t xml:space="preserve"> </w:t>
      </w:r>
      <w:r>
        <w:rPr>
          <w:bCs/>
          <w:b/>
        </w:rPr>
        <w:t xml:space="preserve">Social Worker</w:t>
      </w:r>
      <w:r>
        <w:t xml:space="preserve"> </w:t>
      </w:r>
      <w:r>
        <w:t xml:space="preserve">in</w:t>
      </w:r>
      <w:r>
        <w:t xml:space="preserve"> </w:t>
      </w:r>
      <w:r>
        <w:rPr>
          <w:bCs/>
          <w:b/>
        </w:rPr>
        <w:t xml:space="preserve">China Guangzhou</w:t>
      </w:r>
      <w:r>
        <w:t xml:space="preserve"> </w:t>
      </w:r>
      <w:r>
        <w:t xml:space="preserve">is to participate actively in shaping a more compassionate, stable, and inclusive urban society.</w:t>
      </w:r>
    </w:p>
    <w:bookmarkEnd w:id="25"/>
    <w:bookmarkStart w:id="26" w:name="vii.-bibliographic-note"/>
    <w:p>
      <w:pPr>
        <w:pStyle w:val="Heading2"/>
      </w:pPr>
      <w:r>
        <w:t xml:space="preserve">VII. Bibliographic Note</w:t>
      </w:r>
    </w:p>
    <w:p>
      <w:pPr>
        <w:pStyle w:val="FirstParagraph"/>
      </w:pPr>
      <w:r>
        <w:t xml:space="preserve">This report has synthesized themes commonly found in sociological literature regarding the development of social work practice in Southern China. Key concepts discussed include "embeddedness," "administrative rationality," and "community governance," all applied specifically to the context of Guangzhou’s unique urban landscape.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Social Worker in China Guangzhou</dc:title>
  <dc:creator/>
  <dc:language>en</dc:language>
  <cp:keywords/>
  <dcterms:created xsi:type="dcterms:W3CDTF">2026-07-29T15:46:38Z</dcterms:created>
  <dcterms:modified xsi:type="dcterms:W3CDTF">2026-07-29T15:46:38Z</dcterms:modified>
</cp:coreProperties>
</file>

<file path=docProps/custom.xml><?xml version="1.0" encoding="utf-8"?>
<Properties xmlns="http://schemas.openxmlformats.org/officeDocument/2006/custom-properties" xmlns:vt="http://schemas.openxmlformats.org/officeDocument/2006/docPropsVTypes"/>
</file>