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Myanmar</w:t>
      </w:r>
      <w:r>
        <w:t xml:space="preserve"> </w:t>
      </w:r>
      <w:r>
        <w:t xml:space="preserve">Yangon</w:t>
      </w:r>
    </w:p>
    <w:bookmarkStart w:id="33" w:name="Xaf55ce80fdd5679b6e559a7fe5c26f99cb28414"/>
    <w:p>
      <w:pPr>
        <w:pStyle w:val="Heading1"/>
      </w:pPr>
      <w:r>
        <w:rPr>
          <w:bCs/>
          <w:b/>
        </w:rPr>
        <w:t xml:space="preserve">Book Report:</w:t>
      </w:r>
      <w:r>
        <w:br/>
      </w:r>
      <w:r>
        <w:t xml:space="preserve">The Role and Impact of the Social Worker in Myanmar Yangon</w:t>
      </w:r>
    </w:p>
    <w:p>
      <w:pPr>
        <w:pStyle w:val="FirstParagraph"/>
      </w:pPr>
      <w:r>
        <w:rPr>
          <w:iCs/>
          <w:i/>
        </w:rPr>
        <w:t xml:space="preserve">Date:</w:t>
      </w:r>
      <w:r>
        <w:t xml:space="preserve"> </w:t>
      </w:r>
      <w:r>
        <w:t xml:space="preserve">October 26, 2023</w:t>
      </w:r>
      <w:r>
        <w:br/>
      </w:r>
      <w:r>
        <w:rPr>
          <w:iCs/>
          <w:i/>
        </w:rPr>
        <w:t xml:space="preserve">District:</w:t>
      </w:r>
      <w:r>
        <w:t xml:space="preserve"> </w:t>
      </w:r>
      <w:r>
        <w:t xml:space="preserve">Yangon, Myanmar</w:t>
      </w:r>
      <w:r>
        <w:br/>
      </w:r>
      <w:r>
        <w:rPr>
          <w:iCs/>
          <w:i/>
        </w:rPr>
        <w:t xml:space="preserve">Total Word Count Estimate:</w:t>
      </w:r>
      <w:r>
        <w:t xml:space="preserve"> </w:t>
      </w:r>
      <w:r>
        <w:t xml:space="preserve">Approx. 850 words</w:t>
      </w:r>
    </w:p>
    <w:bookmarkStart w:id="20" w:name="i.-introduction"/>
    <w:p>
      <w:pPr>
        <w:pStyle w:val="Heading3"/>
      </w:pPr>
      <w:r>
        <w:t xml:space="preserve">I. Introduction</w:t>
      </w:r>
    </w:p>
    <w:p>
      <w:pPr>
        <w:pStyle w:val="FirstParagraph"/>
      </w:pPr>
      <w:r>
        <w:t xml:space="preserve">The landscape of social welfare in Southeast Asia is complex, shaped by historical colonial legacies, post-independence political structures, and recent socio-economic upheavals. Within this context, the figure of the</w:t>
      </w:r>
      <w:r>
        <w:t xml:space="preserve"> </w:t>
      </w:r>
      <w:r>
        <w:rPr>
          <w:bCs/>
          <w:b/>
        </w:rPr>
        <w:t xml:space="preserve">Social Worker</w:t>
      </w:r>
      <w:r>
        <w:t xml:space="preserve"> </w:t>
      </w:r>
      <w:r>
        <w:t xml:space="preserve">emerges not merely as a job title but as a critical humanitarian agent. This report examines the evolving role of social work within</w:t>
      </w:r>
      <w:r>
        <w:t xml:space="preserve"> </w:t>
      </w:r>
      <w:r>
        <w:rPr>
          <w:bCs/>
          <w:b/>
        </w:rPr>
        <w:t xml:space="preserve">Myanmar Yangon</w:t>
      </w:r>
      <w:r>
        <w:t xml:space="preserve">, analyzing how practitioners navigate a volatile political environment while striving to uphold human rights and community well-being. The city, being the largest urban center in Myanmar, serves as both an economic hub and a focal point for internal displacement and migration from conflict zones. Consequently, understanding the specific challenges faced by</w:t>
      </w:r>
      <w:r>
        <w:t xml:space="preserve"> </w:t>
      </w:r>
      <w:r>
        <w:rPr>
          <w:bCs/>
          <w:b/>
        </w:rPr>
        <w:t xml:space="preserve">Social Workers</w:t>
      </w:r>
      <w:r>
        <w:t xml:space="preserve"> </w:t>
      </w:r>
      <w:r>
        <w:t xml:space="preserve">in</w:t>
      </w:r>
      <w:r>
        <w:t xml:space="preserve"> </w:t>
      </w:r>
      <w:r>
        <w:rPr>
          <w:bCs/>
          <w:b/>
        </w:rPr>
        <w:t xml:space="preserve">Myanmar Yangon</w:t>
      </w:r>
      <w:r>
        <w:t xml:space="preserve"> </w:t>
      </w:r>
      <w:r>
        <w:t xml:space="preserve">is essential for international observers and local policymakers alike.</w:t>
      </w:r>
    </w:p>
    <w:bookmarkEnd w:id="20"/>
    <w:bookmarkStart w:id="21" w:name="section"/>
    <w:p>
      <w:pPr>
        <w:pStyle w:val="Heading3"/>
      </w:pPr>
      <w:r>
        <w:br/>
      </w:r>
    </w:p>
    <w:bookmarkEnd w:id="21"/>
    <w:bookmarkStart w:id="23" w:name="Xe1774a9dfb28ed628257441c31a9c8dfcff9464"/>
    <w:p>
      <w:pPr>
        <w:pStyle w:val="Heading2"/>
      </w:pPr>
      <w:r>
        <w:t xml:space="preserve">  II. Historical Context of Social Work in Myanmar Yangon</w:t>
      </w:r>
    </w:p>
    <w:p>
      <w:pPr>
        <w:pStyle w:val="FirstParagraph"/>
      </w:pPr>
      <w:r>
        <w:t xml:space="preserve">The profession of social work in Myanmar has its roots in the mid-20th century, initially influenced by British colonial administrative structures and later shaped by the socialist policies of General Ne Win. However, for decades under military rule, independent civil society was suppressed, and formal social work roles were often co-opted or limited to state-sponsored charitable activities rather than rights-based interventions. It was not until the political opening in 2011 that non-governmental organizations (NGOs) and international aid agencies began to formally establish social work departments in</w:t>
      </w:r>
      <w:r>
        <w:t xml:space="preserve"> </w:t>
      </w:r>
      <w:r>
        <w:rPr>
          <w:bCs/>
          <w:b/>
        </w:rPr>
        <w:t xml:space="preserve">Myanmar Yangon</w:t>
      </w:r>
      <w:r>
        <w:t xml:space="preserve">.</w:t>
      </w:r>
    </w:p>
    <w:p>
      <w:pPr>
        <w:pStyle w:val="BodyText"/>
      </w:pPr>
      <w:r>
        <w:t xml:space="preserve">Today, the definition of a</w:t>
      </w:r>
      <w:r>
        <w:t xml:space="preserve"> </w:t>
      </w:r>
      <w:r>
        <w:rPr>
          <w:bCs/>
          <w:b/>
        </w:rPr>
        <w:t xml:space="preserve">Social Worker</w:t>
      </w:r>
      <w:r>
        <w:t xml:space="preserve"> </w:t>
      </w:r>
      <w:r>
        <w:t xml:space="preserve">in this region has expanded. They are no longer just case managers but are increasingly involved in trauma counseling, community organizing, legal advocacy, and disaster response. The transition from a centralized state model to a more fragmented civil society landscape has placed immense pressure on these professionals to fill gaps left by the weakening of public services.</w:t>
      </w:r>
    </w:p>
    <w:bookmarkStart w:id="22" w:name="section-1"/>
    <w:p>
      <w:pPr>
        <w:pStyle w:val="Heading3"/>
      </w:pPr>
      <w:r>
        <w:br/>
      </w:r>
    </w:p>
    <w:bookmarkEnd w:id="22"/>
    <w:bookmarkEnd w:id="23"/>
    <w:bookmarkStart w:id="25" w:name="Xf7c731637a52bdbb125bb9722fe6d480a547091"/>
    <w:p>
      <w:pPr>
        <w:pStyle w:val="Heading2"/>
      </w:pPr>
      <w:r>
        <w:t xml:space="preserve">  III. Current Challenges Faced by Social Workers</w:t>
      </w:r>
    </w:p>
    <w:p>
      <w:pPr>
        <w:pStyle w:val="FirstParagraph"/>
      </w:pPr>
      <w:r>
        <w:t xml:space="preserve">The current political crisis in Myanmar, following the military coup in February 2021, has drastically altered the operational environment for</w:t>
      </w:r>
      <w:r>
        <w:t xml:space="preserve"> </w:t>
      </w:r>
      <w:r>
        <w:rPr>
          <w:bCs/>
          <w:b/>
        </w:rPr>
        <w:t xml:space="preserve">Social Workers</w:t>
      </w:r>
      <w:r>
        <w:t xml:space="preserve"> </w:t>
      </w:r>
      <w:r>
        <w:t xml:space="preserve">operating out of</w:t>
      </w:r>
      <w:r>
        <w:t xml:space="preserve"> </w:t>
      </w:r>
      <w:r>
        <w:rPr>
          <w:bCs/>
          <w:b/>
        </w:rPr>
        <w:t xml:space="preserve">Myanmar Yangon</w:t>
      </w:r>
      <w:r>
        <w:t xml:space="preserve">. The city is now a site of significant tension, housing both government institutions and resistance support networks. Social workers face several unique challenges:</w:t>
      </w:r>
    </w:p>
    <w:p>
      <w:pPr>
        <w:numPr>
          <w:ilvl w:val="0"/>
          <w:numId w:val="1001"/>
        </w:numPr>
        <w:pStyle w:val="Compact"/>
      </w:pPr>
      <w:r>
        <w:t xml:space="preserve">Security Risks:</w:t>
      </w:r>
      <w:r>
        <w:t xml:space="preserve">  Physical safety is paramount. Many</w:t>
      </w:r>
      <w:r>
        <w:t xml:space="preserve"> </w:t>
      </w:r>
      <w:r>
        <w:rPr>
          <w:bCs/>
          <w:b/>
        </w:rPr>
        <w:t xml:space="preserve">Social Workers</w:t>
      </w:r>
      <w:r>
        <w:t xml:space="preserve"> </w:t>
      </w:r>
      <w:r>
        <w:t xml:space="preserve">operate under the threat of surveillance, arrest, or violence from security forces. Confidentiality of client data is a life-or-death matter.</w:t>
      </w:r>
    </w:p>
    <w:p>
      <w:pPr>
        <w:numPr>
          <w:ilvl w:val="0"/>
          <w:numId w:val="1001"/>
        </w:numPr>
        <w:pStyle w:val="Compact"/>
      </w:pPr>
      <w:r>
        <w:t xml:space="preserve">Resource Scarcity:</w:t>
      </w:r>
      <w:r>
        <w:t xml:space="preserve">  Economic collapse has led to hyperinflation and supply chain disruptions.</w:t>
      </w:r>
      <w:r>
        <w:t xml:space="preserve"> </w:t>
      </w:r>
      <w:r>
        <w:rPr>
          <w:bCs/>
          <w:b/>
        </w:rPr>
        <w:t xml:space="preserve">Social Workers</w:t>
      </w:r>
      <w:r>
        <w:t xml:space="preserve"> </w:t>
      </w:r>
      <w:r>
        <w:t xml:space="preserve">in</w:t>
      </w:r>
      <w:r>
        <w:t xml:space="preserve"> </w:t>
      </w:r>
      <w:r>
        <w:rPr>
          <w:bCs/>
          <w:b/>
        </w:rPr>
        <w:t xml:space="preserve">Myanmar Yangon</w:t>
      </w:r>
      <w:r>
        <w:t xml:space="preserve"> </w:t>
      </w:r>
      <w:r>
        <w:t xml:space="preserve">struggle to provide basic material aid, such as food, medicine, and shelter assistance.</w:t>
      </w:r>
    </w:p>
    <w:p>
      <w:pPr>
        <w:numPr>
          <w:ilvl w:val="0"/>
          <w:numId w:val="1001"/>
        </w:numPr>
        <w:pStyle w:val="Compact"/>
      </w:pPr>
      <w:r>
        <w:t xml:space="preserve">Mental Health Burden:</w:t>
      </w:r>
      <w:r>
        <w:t xml:space="preserve">  The trauma experienced by both the beneficiaries and the practitioners is profound. Secondary traumatic stress is a growing concern among</w:t>
      </w:r>
      <w:r>
        <w:t xml:space="preserve"> </w:t>
      </w:r>
      <w:r>
        <w:rPr>
          <w:bCs/>
          <w:b/>
        </w:rPr>
        <w:t xml:space="preserve">Social Workers</w:t>
      </w:r>
      <w:r>
        <w:t xml:space="preserve"> </w:t>
      </w:r>
      <w:r>
        <w:t xml:space="preserve">who witness daily human rights violations.</w:t>
      </w:r>
    </w:p>
    <w:bookmarkStart w:id="24" w:name="section-2"/>
    <w:p>
      <w:pPr>
        <w:pStyle w:val="Heading3"/>
      </w:pPr>
      <w:r>
        <w:br/>
      </w:r>
    </w:p>
    <w:bookmarkEnd w:id="24"/>
    <w:bookmarkEnd w:id="25"/>
    <w:bookmarkStart w:id="27" w:name="iv.-key-areas-of-intervention-in-yangon"/>
    <w:p>
      <w:pPr>
        <w:pStyle w:val="Heading2"/>
      </w:pPr>
      <w:r>
        <w:t xml:space="preserve">  IV. Key Areas of Intervention in Yangon</w:t>
      </w:r>
    </w:p>
    <w:p>
      <w:pPr>
        <w:pStyle w:val="FirstParagraph"/>
      </w:pPr>
      <w:r>
        <w:t xml:space="preserve">Despite these challenges, the resilience of the social work profession in</w:t>
      </w:r>
      <w:r>
        <w:t xml:space="preserve"> </w:t>
      </w:r>
      <w:r>
        <w:rPr>
          <w:bCs/>
          <w:b/>
        </w:rPr>
        <w:t xml:space="preserve">Myanmar Yangon</w:t>
      </w:r>
      <w:r>
        <w:t xml:space="preserve"> </w:t>
      </w:r>
      <w:r>
        <w:t xml:space="preserve">remains evident. The interventions can be categorized into three main areas:</w:t>
      </w:r>
    </w:p>
    <w:p>
      <w:pPr>
        <w:numPr>
          <w:ilvl w:val="0"/>
          <w:numId w:val="1002"/>
        </w:numPr>
        <w:pStyle w:val="Compact"/>
      </w:pPr>
      <w:r>
        <w:t xml:space="preserve">Protection of Displaced Persons:</w:t>
      </w:r>
      <w:r>
        <w:t xml:space="preserve">  Yangon receives a continuous influx of internally displaced persons (IDPs) fleeing conflict in border states.</w:t>
      </w:r>
      <w:r>
        <w:t xml:space="preserve"> </w:t>
      </w:r>
      <w:r>
        <w:rPr>
          <w:bCs/>
          <w:b/>
        </w:rPr>
        <w:t xml:space="preserve">Social Workers</w:t>
      </w:r>
      <w:r>
        <w:t xml:space="preserve"> </w:t>
      </w:r>
      <w:r>
        <w:t xml:space="preserve">coordinate with local community networks to provide temporary shelter and registration services.</w:t>
      </w:r>
    </w:p>
    <w:p>
      <w:pPr>
        <w:numPr>
          <w:ilvl w:val="0"/>
          <w:numId w:val="1002"/>
        </w:numPr>
        <w:pStyle w:val="Compact"/>
      </w:pPr>
      <w:r>
        <w:t xml:space="preserve">Child Protection Services:</w:t>
      </w:r>
      <w:r>
        <w:t xml:space="preserve">  With schools closed for long periods and families impoverished, the risk of child labor, trafficking, and abuse has skyrocketed.</w:t>
      </w:r>
      <w:r>
        <w:t xml:space="preserve"> </w:t>
      </w:r>
      <w:r>
        <w:rPr>
          <w:bCs/>
          <w:b/>
        </w:rPr>
        <w:t xml:space="preserve">Social Workers</w:t>
      </w:r>
      <w:r>
        <w:t xml:space="preserve"> </w:t>
      </w:r>
      <w:r>
        <w:t xml:space="preserve">conduct home visits to identify vulnerable children and connect them with educational or vocational opportunities.</w:t>
      </w:r>
    </w:p>
    <w:p>
      <w:pPr>
        <w:numPr>
          <w:ilvl w:val="0"/>
          <w:numId w:val="1002"/>
        </w:numPr>
        <w:pStyle w:val="Compact"/>
      </w:pPr>
      <w:r>
        <w:t xml:space="preserve">Psychosocial Support:</w:t>
      </w:r>
      <w:r>
        <w:t xml:space="preserve">  &gt;Trauma counseling is delivered through informal community centers.</w:t>
      </w:r>
      <w:r>
        <w:t xml:space="preserve"> </w:t>
      </w:r>
      <w:r>
        <w:rPr>
          <w:bCs/>
          <w:b/>
        </w:rPr>
        <w:t xml:space="preserve">Social Workers</w:t>
      </w:r>
      <w:r>
        <w:t xml:space="preserve"> </w:t>
      </w:r>
      <w:r>
        <w:t xml:space="preserve">utilize culturally sensitive approaches, often integrating traditional Burmese Buddhist practices with modern psychological techniques to support victims of violence and arrest.</w:t>
      </w:r>
    </w:p>
    <w:bookmarkStart w:id="26" w:name="section-3"/>
    <w:p>
      <w:pPr>
        <w:pStyle w:val="Heading3"/>
      </w:pPr>
      <w:r>
        <w:br/>
      </w:r>
    </w:p>
    <w:bookmarkEnd w:id="26"/>
    <w:bookmarkEnd w:id="27"/>
    <w:bookmarkStart w:id="29" w:name="Xcca6fff096f2ac5683f3ba403f4b6e6bbf1d394"/>
    <w:p>
      <w:pPr>
        <w:pStyle w:val="Heading2"/>
      </w:pPr>
      <w:r>
        <w:t xml:space="preserve">  V. Case Study: Community-Led Social Work in Dagon Township</w:t>
      </w:r>
    </w:p>
    <w:p>
      <w:pPr>
        <w:pStyle w:val="FirstParagraph"/>
      </w:pPr>
      <w:r>
        <w:t xml:space="preserve">A notable example of effective practice can be found in the informal settlements of Dagon Township, a densely populated area within</w:t>
      </w:r>
      <w:r>
        <w:t xml:space="preserve"> </w:t>
      </w:r>
      <w:r>
        <w:rPr>
          <w:bCs/>
          <w:b/>
        </w:rPr>
        <w:t xml:space="preserve">Myanmar Yangon</w:t>
      </w:r>
      <w:r>
        <w:t xml:space="preserve">. Here, local</w:t>
      </w:r>
      <w:r>
        <w:t xml:space="preserve"> </w:t>
      </w:r>
      <w:r>
        <w:rPr>
          <w:bCs/>
          <w:b/>
        </w:rPr>
        <w:t xml:space="preserve">Social Workers</w:t>
      </w:r>
      <w:r>
        <w:t xml:space="preserve">, often working without formal NGO backing, have established mutual aid groups. These groups function as decentralized support systems. They distribute food packages funded by grassroots crowdfunding and provide legal information to families of detained individuals. This model highlights the importance of community ownership in social work practice within</w:t>
      </w:r>
      <w:r>
        <w:t xml:space="preserve"> </w:t>
      </w:r>
      <w:r>
        <w:rPr>
          <w:bCs/>
          <w:b/>
        </w:rPr>
        <w:t xml:space="preserve">Myanmar Yangon</w:t>
      </w:r>
      <w:r>
        <w:t xml:space="preserve">. It demonstrates that effective social work does not always require large institutional frameworks but can thrive through localized trust networks.</w:t>
      </w:r>
    </w:p>
    <w:bookmarkStart w:id="28" w:name="section-4"/>
    <w:p>
      <w:pPr>
        <w:pStyle w:val="Heading3"/>
      </w:pPr>
      <w:r>
        <w:br/>
      </w:r>
    </w:p>
    <w:bookmarkEnd w:id="28"/>
    <w:bookmarkEnd w:id="29"/>
    <w:bookmarkStart w:id="31" w:name="X11b324f2d21176c9ec39c6db2c1ca35ad832558"/>
    <w:p>
      <w:pPr>
        <w:pStyle w:val="Heading2"/>
      </w:pPr>
      <w:r>
        <w:t xml:space="preserve">  VI. Recommendations for Strengthening the Profession</w:t>
      </w:r>
    </w:p>
    <w:p>
      <w:pPr>
        <w:pStyle w:val="FirstParagraph"/>
      </w:pPr>
      <w:r>
        <w:t xml:space="preserve">To enhance the capacity of</w:t>
      </w:r>
      <w:r>
        <w:t xml:space="preserve"> </w:t>
      </w:r>
      <w:r>
        <w:rPr>
          <w:bCs/>
          <w:b/>
        </w:rPr>
        <w:t xml:space="preserve">Social Workers</w:t>
      </w:r>
      <w:r>
        <w:t xml:space="preserve"> </w:t>
      </w:r>
      <w:r>
        <w:t xml:space="preserve">in</w:t>
      </w:r>
      <w:r>
        <w:t xml:space="preserve"> </w:t>
      </w:r>
      <w:r>
        <w:rPr>
          <w:bCs/>
          <w:b/>
        </w:rPr>
        <w:t xml:space="preserve">Myanmar Yangon</w:t>
      </w:r>
      <w:r>
        <w:t xml:space="preserve">, several strategic recommendations are proposed:</w:t>
      </w:r>
    </w:p>
    <w:p>
      <w:pPr>
        <w:numPr>
          <w:ilvl w:val="0"/>
          <w:numId w:val="1003"/>
        </w:numPr>
        <w:pStyle w:val="Compact"/>
      </w:pPr>
      <w:r>
        <w:t xml:space="preserve">Invest in Digital Security Training:</w:t>
      </w:r>
      <w:r>
        <w:t xml:space="preserve">  Given the surveillance threats, comprehensive training on data encryption and safe communication tools is essential for all social work professionals.</w:t>
      </w:r>
    </w:p>
    <w:p>
      <w:pPr>
        <w:numPr>
          <w:ilvl w:val="0"/>
          <w:numId w:val="1003"/>
        </w:numPr>
        <w:pStyle w:val="Compact"/>
      </w:pPr>
      <w:r>
        <w:t xml:space="preserve">Strengthen Regional Networks:</w:t>
      </w:r>
      <w:r>
        <w:t xml:space="preserve">  </w:t>
      </w:r>
      <w:r>
        <w:rPr>
          <w:bCs/>
          <w:b/>
        </w:rPr>
        <w:t xml:space="preserve">Social Workers</w:t>
      </w:r>
      <w:r>
        <w:t xml:space="preserve"> </w:t>
      </w:r>
      <w:r>
        <w:t xml:space="preserve">in</w:t>
      </w:r>
      <w:r>
        <w:t xml:space="preserve"> </w:t>
      </w:r>
      <w:r>
        <w:rPr>
          <w:bCs/>
          <w:b/>
        </w:rPr>
        <w:t xml:space="preserve">Myanmar Yangon</w:t>
      </w:r>
      <w:r>
        <w:t xml:space="preserve"> </w:t>
      </w:r>
      <w:r>
        <w:t xml:space="preserve">should forge stronger alliances with counterparts in other cities like Mandalay and Naypyidaw to share resources and best practices during crises.</w:t>
      </w:r>
    </w:p>
    <w:p>
      <w:pPr>
        <w:numPr>
          <w:ilvl w:val="0"/>
          <w:numId w:val="1003"/>
        </w:numPr>
        <w:pStyle w:val="Compact"/>
      </w:pPr>
      <w:r>
        <w:t xml:space="preserve">Mental Health Support for Practitioners:</w:t>
      </w:r>
      <w:r>
        <w:t xml:space="preserve">  Institutional providers must prioritize the well-being of their staff. Regular debriefing sessions, counseling services, and leave policies are necessary to prevent burnout.</w:t>
      </w:r>
    </w:p>
    <w:bookmarkStart w:id="30" w:name="section-5"/>
    <w:p>
      <w:pPr>
        <w:pStyle w:val="Heading3"/>
      </w:pPr>
      <w:r>
        <w:br/>
      </w:r>
    </w:p>
    <w:bookmarkEnd w:id="30"/>
    <w:bookmarkEnd w:id="31"/>
    <w:bookmarkStart w:id="32" w:name="vii.-conclusion"/>
    <w:p>
      <w:pPr>
        <w:pStyle w:val="Heading2"/>
      </w:pPr>
      <w:r>
        <w:t xml:space="preserve">  VII.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Myanmar Yangon</w:t>
      </w:r>
      <w:r>
        <w:t xml:space="preserve"> </w:t>
      </w:r>
      <w:r>
        <w:t xml:space="preserve">is more critical today than at any point in recent history. They stand at the intersection of humanitarian aid, human rights advocacy, and community resilience. While the political and economic conditions present formidable obstacles, their work provides a lifeline for thousands of vulnerable individuals. This report underscores that supporting</w:t>
      </w:r>
      <w:r>
        <w:t xml:space="preserve"> </w:t>
      </w:r>
      <w:r>
        <w:rPr>
          <w:bCs/>
          <w:b/>
        </w:rPr>
        <w:t xml:space="preserve">Social Workers</w:t>
      </w:r>
      <w:r>
        <w:t xml:space="preserve"> </w:t>
      </w:r>
      <w:r>
        <w:t xml:space="preserve">in</w:t>
      </w:r>
      <w:r>
        <w:t xml:space="preserve"> </w:t>
      </w:r>
      <w:r>
        <w:rPr>
          <w:bCs/>
          <w:b/>
        </w:rPr>
        <w:t xml:space="preserve">Myanmar Yangon</w:t>
      </w:r>
      <w:r>
        <w:t xml:space="preserve"> </w:t>
      </w:r>
      <w:r>
        <w:t xml:space="preserve">is not just about aiding a profession; it is about sustaining the moral fabric of society during times of profound crisis. Future efforts must focus on empowering these professionals with the tools, safety, and recognition they deserve to continue their vital work.</w:t>
      </w:r>
    </w:p>
    <w:p>
      <w:pPr>
        <w:pStyle w:val="BodyText"/>
      </w:pPr>
      <w:r>
        <w:br/>
      </w:r>
    </w:p>
    <w:p>
      <w:r>
        <w:pict>
          <v:rect style="width:0;height:1.5pt" o:hralign="center" o:hrstd="t" o:hr="t"/>
        </w:pict>
      </w:r>
    </w:p>
    <w:p>
      <w:pPr>
        <w:pStyle w:val="FirstParagraph"/>
      </w:pPr>
      <w:r>
        <w:br/>
      </w:r>
      <w:r>
        <w:t xml:space="preserve">  </w:t>
      </w:r>
      <w:r>
        <w:rPr>
          <w:iCs/>
          <w:i/>
        </w:rPr>
        <w:t xml:space="preserve">This book report provides an overview for educational purposes regarding social welfare structures in</w:t>
      </w:r>
      <w:r>
        <w:rPr>
          <w:iCs/>
          <w:i/>
        </w:rPr>
        <w:t xml:space="preserve"> </w:t>
      </w:r>
      <w:r>
        <w:rPr>
          <w:bCs/>
          <w:b/>
          <w:iCs/>
          <w:i/>
        </w:rPr>
        <w:t xml:space="preserve">Myanmar Yangon</w:t>
      </w:r>
      <w:r>
        <w:rPr>
          <w:iCs/>
          <w:i/>
        </w:rPr>
        <w:t xml:space="preserve">. It is recommended that readers consult primary sources from local NGOs such as the Myanmar Council of Social Welfare for further detailed data.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Myanmar Yangon</dc:title>
  <dc:creator/>
  <dc:language>en</dc:language>
  <cp:keywords/>
  <dcterms:created xsi:type="dcterms:W3CDTF">2026-07-29T15:44:55Z</dcterms:created>
  <dcterms:modified xsi:type="dcterms:W3CDTF">2026-07-29T15:44:55Z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