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40a75d85b0ba4ef46a31a2a38c358cb49860a5"/>
    <w:p>
      <w:pPr>
        <w:pStyle w:val="Heading1"/>
      </w:pPr>
      <w:r>
        <w:t xml:space="preserve">Book Report: Navigating Complexity – The Social Worker in New Zealand Wellington</w:t>
      </w:r>
    </w:p>
    <w:p>
      <w:pPr>
        <w:pStyle w:val="FirstParagraph"/>
      </w:pPr>
      <w:r>
        <w:rPr>
          <w:bCs/>
          <w:b/>
        </w:rPr>
        <w:t xml:space="preserve">Title:</w:t>
      </w:r>
      <w:r>
        <w:t xml:space="preserve">A Critical Review of Social Work Practice in the Capital Region</w:t>
      </w:r>
      <w:r>
        <w:br/>
      </w:r>
    </w:p>
    <w:p>
      <w:pPr>
        <w:pStyle w:val="BodyText"/>
      </w:pPr>
      <w:r>
        <w:rPr>
          <w:bCs/>
          <w:b/>
        </w:rPr>
        <w:t xml:space="preserve">Subject:</w:t>
      </w:r>
      <w:r>
        <w:t xml:space="preserve">Social Welfare, Community Development, and Mental Health Support</w:t>
      </w:r>
      <w:r>
        <w:br/>
      </w:r>
    </w:p>
    <w:p>
      <w:pPr>
        <w:pStyle w:val="BodyText"/>
      </w:pPr>
      <w:r>
        <w:t xml:space="preserve">p</w:t>
      </w:r>
      <w:r>
        <w:rPr>
          <w:bCs/>
          <w:b/>
        </w:rPr>
        <w:t xml:space="preserve">Date:</w:t>
      </w:r>
      <w:r>
        <w:t xml:space="preserve">October 26, 2023p</w:t>
      </w:r>
    </w:p>
    <w:p>
      <w:pPr>
        <w:pStyle w:val="BodyText"/>
      </w:pPr>
      <w:r>
        <w:rPr>
          <w:bCs/>
          <w:b/>
        </w:rPr>
        <w:t xml:space="preserve">Focus Area:</w:t>
      </w:r>
      <w:r>
        <w:t xml:space="preserve">New Zealand Wellington Social Services</w:t>
      </w:r>
      <w:r>
        <w:br/>
      </w:r>
    </w:p>
    <w:p>
      <w:pPr>
        <w:pStyle w:val="BodyText"/>
      </w:pPr>
      <w:r>
        <w:t xml:space="preserve">&gt;</w:t>
      </w:r>
    </w:p>
    <w:bookmarkStart w:id="20" w:name="introduction"/>
    <w:p>
      <w:pPr>
        <w:pStyle w:val="Heading2"/>
      </w:pPr>
      <w:r>
        <w:t xml:space="preserve">1. Introduction</w:t>
      </w:r>
    </w:p>
    <w:p>
      <w:pPr>
        <w:pStyle w:val="FirstParagraph"/>
      </w:pPr>
      <w:r>
        <w:t xml:space="preserve">In the dynamic landscape of modern social services, few roles are as pivotal, complex, and emotionally demanding as that of the social worker. This book report explores the multifaceted nature of social work through a specific geographic and cultural lens: New Zealand Wellington. As the capital city of New Zealand, Wellington serves not only as a political hub but also as a microcosm for testing ground for progressive welfare policies in Australasia. The purpose this analysis is to examine how social workers operate within the unique socio-economic, cultural, and legislative framework of New Zealand Wellington. By synthesizing current literature and practical observations from the field, this report aims to provide a comprehensive understanding of what it means to be a</w:t>
      </w:r>
      <w:r>
        <w:t xml:space="preserve"> </w:t>
      </w:r>
      <w:r>
        <w:rPr>
          <w:bCs/>
          <w:b/>
        </w:rPr>
        <w:t xml:space="preserve">Social Worker</w:t>
      </w:r>
      <w:r>
        <w:t xml:space="preserve"> </w:t>
      </w:r>
      <w:r>
        <w:t xml:space="preserve">in one of the most progressive yet challenging urban environments in</w:t>
      </w:r>
      <w:r>
        <w:t xml:space="preserve"> </w:t>
      </w:r>
      <w:r>
        <w:rPr>
          <w:bCs/>
          <w:b/>
        </w:rPr>
        <w:t xml:space="preserve">New Zealand Wellington</w:t>
      </w:r>
      <w:r>
        <w:t xml:space="preserve">.</w:t>
      </w:r>
    </w:p>
    <w:bookmarkEnd w:id="20"/>
    <w:bookmarkStart w:id="21" w:name="X6f7fec095cd9c3031d5aac7f9d469709b7e1b6a"/>
    <w:p>
      <w:pPr>
        <w:pStyle w:val="Heading2"/>
      </w:pPr>
      <w:r>
        <w:t xml:space="preserve">2. The Unique Context: New Zealand and Cultural Competence</w:t>
      </w:r>
    </w:p>
    <w:p>
      <w:pPr>
        <w:pStyle w:val="FirstParagraph"/>
      </w:pPr>
      <w:r>
        <w:t xml:space="preserve">To understand social work in this region, one must first understand the foundational principle of Te Tiriti o Waitangi (The Treaty of Waitangi). Social workers in</w:t>
      </w:r>
      <w:r>
        <w:t xml:space="preserve"> </w:t>
      </w:r>
      <w:r>
        <w:rPr>
          <w:bCs/>
          <w:b/>
        </w:rPr>
        <w:t xml:space="preserve">New Zealand Wellington</w:t>
      </w:r>
      <w:r>
        <w:t xml:space="preserve"> </w:t>
      </w:r>
      <w:r>
        <w:t xml:space="preserve">operate under a legal and ethical obligation to uphold the principles of partnership, participation, and protection. This is not merely bureaucratic compliance; it is a fundamental shift in practice. The literature emphasizes that effective social work here requires bicultural competence. Professionals must navigate the intersection of Western psychological frameworks with Māori concepts of wellbeing, such as *whānau* (extended family), *hapū* (sub-tribe), and *iwi* (tribe).</w:t>
      </w:r>
    </w:p>
    <w:p>
      <w:pPr>
        <w:pStyle w:val="BodyText"/>
      </w:pPr>
      <w:r>
        <w:t xml:space="preserve">In Wellington, a city with a significant and growing Māori population, social workers must be adept at engaging with indigenous communities in ways that respect mana whenua authority. This involves recognizing historical trauma caused by colonial policies while empowering current generations. A social worker cannot simply apply generic models of care; they must adapt interventions to fit the cultural fabric of the clients they serve in</w:t>
      </w:r>
      <w:r>
        <w:t xml:space="preserve"> </w:t>
      </w:r>
      <w:r>
        <w:rPr>
          <w:bCs/>
          <w:b/>
        </w:rPr>
        <w:t xml:space="preserve">New Zealand Wellington</w:t>
      </w:r>
      <w:r>
        <w:t xml:space="preserve">. Failure to do so results in disengagement, mistrust, and ultimately, poor outcomes for vulnerable individuals.</w:t>
      </w:r>
    </w:p>
    <w:bookmarkEnd w:id="21"/>
    <w:bookmarkStart w:id="22" w:name="urban-challenges-in-a-capital-city"/>
    <w:p>
      <w:pPr>
        <w:pStyle w:val="Heading2"/>
      </w:pPr>
      <w:r>
        <w:t xml:space="preserve">3. Urban Challenges in a Capital City</w:t>
      </w:r>
    </w:p>
    <w:p>
      <w:pPr>
        <w:pStyle w:val="FirstParagraph"/>
      </w:pPr>
      <w:r>
        <w:t xml:space="preserve">While rural areas face distinct challenges regarding access to services, the capital city of New Zealand Wellington presents its own set of urban complexities. The city is characterized by high population density, a booming tech sector, and stark socioeconomic disparities. The literature highlights that</w:t>
      </w:r>
      <w:r>
        <w:t xml:space="preserve"> </w:t>
      </w:r>
      <w:r>
        <w:rPr>
          <w:bCs/>
          <w:b/>
        </w:rPr>
        <w:t xml:space="preserve">New Zealand Wellington</w:t>
      </w:r>
      <w:r>
        <w:t xml:space="preserve"> </w:t>
      </w:r>
      <w:r>
        <w:t xml:space="preserve">has seen rising costs in housing and living expenses, which directly correlates with increased demand for social work services related to homelessness, food insecurity, and family violence.</w:t>
      </w:r>
    </w:p>
    <w:p>
      <w:pPr>
        <w:pStyle w:val="BodyText"/>
      </w:pPr>
      <w:r>
        <w:t xml:space="preserve">The role of the social worker here is often crisis-driven. Reports indicate a surge in referrals regarding youth disengagement and mental health crises among young adults. Social workers act as critical first responders, navigating a fragmented system that includes public housing authorities, police services, educational institutions, and healthcare providers. The complexity lies in coordinating these disparate entities to create a cohesive support network for the client.</w:t>
      </w:r>
    </w:p>
    <w:bookmarkEnd w:id="22"/>
    <w:bookmarkStart w:id="23" w:name="mental-health-and-child-protection"/>
    <w:p>
      <w:pPr>
        <w:pStyle w:val="Heading2"/>
      </w:pPr>
      <w:r>
        <w:t xml:space="preserve">4. Mental Health and Child Protection</w:t>
      </w:r>
    </w:p>
    <w:p>
      <w:pPr>
        <w:pStyle w:val="FirstParagraph"/>
      </w:pPr>
      <w:r>
        <w:t xml:space="preserve">A significant portion of contemporary social work literature focuses on mental health and child protection. In New Zealand, Oranga Tamariki (Ministry for Social Development) is the primary agency responsible for child welfare, employing a vast number of social workers in</w:t>
      </w:r>
      <w:r>
        <w:t xml:space="preserve"> </w:t>
      </w:r>
      <w:r>
        <w:rPr>
          <w:bCs/>
          <w:b/>
        </w:rPr>
        <w:t xml:space="preserve">New Zealand Wellington</w:t>
      </w:r>
      <w:r>
        <w:t xml:space="preserve">. The book analysis reveals that these professionals operate under immense pressure. They are tasked with making life-altering decisions about child safety while working within resource-constrained environments.</w:t>
      </w:r>
    </w:p>
    <w:p>
      <w:pPr>
        <w:pStyle w:val="BodyText"/>
      </w:pPr>
      <w:r>
        <w:t xml:space="preserve">The "wellbeing of children" is paramount, but the definition of wellbeing is culturally nuanced. Social workers must balance immediate risk management with long-term family preservation. This requires a high level of clinical skill and emotional resilience. Furthermore, the rise in complex trauma cases—often stemming from intergenerational abuse or substance misuse—demands specialized training for</w:t>
      </w:r>
      <w:r>
        <w:t xml:space="preserve"> </w:t>
      </w:r>
      <w:r>
        <w:rPr>
          <w:bCs/>
          <w:b/>
        </w:rPr>
        <w:t xml:space="preserve">Social Worker</w:t>
      </w:r>
      <w:r>
        <w:t xml:space="preserve"> </w:t>
      </w:r>
      <w:r>
        <w:t xml:space="preserve">practitioners in Wellington's community health centers and NGOs.</w:t>
      </w:r>
    </w:p>
    <w:bookmarkEnd w:id="23"/>
    <w:bookmarkStart w:id="24" w:name="advocacy-and-policy-influence"/>
    <w:p>
      <w:pPr>
        <w:pStyle w:val="Heading2"/>
      </w:pPr>
      <w:r>
        <w:t xml:space="preserve">5. Advocacy and Policy Influence</w:t>
      </w:r>
    </w:p>
    <w:p>
      <w:pPr>
        <w:pStyle w:val="FirstParagraph"/>
      </w:pPr>
      <w:r>
        <w:t xml:space="preserve">Beyond direct client work, social workers in New Zealand Wellington play a crucial role as advocates and policy influencers. The capital city hosts many national government departments and non-governmental organizations (NGOs) that shape welfare policy nationwide. Social workers often serve on advisory boards, providing ground-level insights that inform legislative changes.</w:t>
      </w:r>
    </w:p>
    <w:p>
      <w:pPr>
        <w:pStyle w:val="BodyText"/>
      </w:pPr>
      <w:r>
        <w:t xml:space="preserve">This macro-level practice is essential for systemic change. By advocating for better funding, improved housing standards, and more inclusive mental health services, social workers address the root causes of social inequality. The literature suggests that the most effective social workers in Wellington are those who can bridge the gap between individual case management and broader policy advocacy.</w:t>
      </w:r>
    </w:p>
    <w:bookmarkEnd w:id="24"/>
    <w:bookmarkStart w:id="25" w:name="conclusion"/>
    <w:p>
      <w:pPr>
        <w:pStyle w:val="Heading2"/>
      </w:pPr>
      <w:r>
        <w:t xml:space="preserve">6. Conclusion</w:t>
      </w:r>
    </w:p>
    <w:p>
      <w:pPr>
        <w:pStyle w:val="FirstParagraph"/>
      </w:pPr>
      <w:r>
        <w:t xml:space="preserve">In conclusion, this book report underscores that being a Social Worker in New Zealand Wellington is a role of profound responsibility and intricate complexity. It requires more than just empathy; it demands cultural competence, clinical expertise, systemic navigation skills, and unwavering advocacy. The specific context of Wellington as the political heart of New Zealand means that social workers here are not only supporting individuals but also influencing the direction of national welfare policy.</w:t>
      </w:r>
    </w:p>
    <w:p>
      <w:pPr>
        <w:pStyle w:val="BodyText"/>
      </w:pPr>
      <w:r>
        <w:t xml:space="preserve">As challenges such as housing affordability and mental health crises continue to evolve, the importance of a skilled, culturally responsive workforce in</w:t>
      </w:r>
      <w:r>
        <w:t xml:space="preserve"> </w:t>
      </w:r>
      <w:r>
        <w:rPr>
          <w:bCs/>
          <w:b/>
        </w:rPr>
        <w:t xml:space="preserve">New Zealand Wellington</w:t>
      </w:r>
      <w:r>
        <w:t xml:space="preserve"> </w:t>
      </w:r>
      <w:r>
        <w:t xml:space="preserve">cannot be overstated. Future research should focus on longitudinal studies regarding the effectiveness of bicultural practice models in child protection cases. Ultimately, supporting social workers in this region is synonymous with supporting the most vulnerable members of society, ensuring that New Zealand’s capital remains a place where dignity and wellbeing are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New Zealand Wellington</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