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6adb3d1981190a1eb2abde6385eea287d362e89"/>
    <w:p>
      <w:pPr>
        <w:pStyle w:val="Heading1"/>
      </w:pPr>
      <w:r>
        <w:t xml:space="preserve">Book Report: The Role and Evolution of the Social Worker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Community Development &amp; Academic Review Board</w:t>
      </w:r>
      <w:r>
        <w:br/>
      </w:r>
      <w:r>
        <w:rPr>
          <w:bCs/>
          <w:b/>
        </w:rPr>
        <w:t xml:space="preserve">From:</w:t>
      </w:r>
      <w:r>
        <w:t xml:space="preserve"> </w:t>
      </w:r>
      <w:r>
        <w:t xml:space="preserve">Research Analyst</w:t>
      </w:r>
      <w:r>
        <w:br/>
      </w:r>
    </w:p>
    <w:bookmarkStart w:id="20" w:name="introduction"/>
    <w:p>
      <w:pPr>
        <w:pStyle w:val="Heading2"/>
      </w:pPr>
      <w:r>
        <w:t xml:space="preserve">1. Introduction</w:t>
      </w:r>
    </w:p>
    <w:p>
      <w:pPr>
        <w:pStyle w:val="FirstParagraph"/>
      </w:pPr>
      <w:r>
        <w:t xml:space="preserve">The landscape of social work is undergoing a profound transformation globally, yet nowhere is this evolution more distinct than in the</w:t>
      </w:r>
      <w:r>
        <w:t xml:space="preserve"> </w:t>
      </w:r>
      <w:r>
        <w:rPr>
          <w:bCs/>
          <w:b/>
        </w:rPr>
        <w:t xml:space="preserve">United Arab Emirates Abu Dhabi</w:t>
      </w:r>
      <w:r>
        <w:t xml:space="preserve">. As one of the most dynamic and multicultural regions in the Middle East, Abu Dhabi presents a unique case study for understanding how Western concepts of social welfare intersect with Islamic traditions, rapid modernization, and a highly diverse demographic structure. This book report synthesizes key themes from contemporary literature regarding the</w:t>
      </w:r>
      <w:r>
        <w:t xml:space="preserve"> </w:t>
      </w:r>
      <w:r>
        <w:rPr>
          <w:bCs/>
          <w:b/>
        </w:rPr>
        <w:t xml:space="preserve">Social Worker</w:t>
      </w:r>
      <w:r>
        <w:t xml:space="preserve"> </w:t>
      </w:r>
      <w:r>
        <w:t xml:space="preserve">profession within this specific geographic and cultural context. The analysis focuses on the historical trajectory, ethical challenges, legal frameworks, and future directions of social work in the region.</w:t>
      </w:r>
    </w:p>
    <w:bookmarkEnd w:id="20"/>
    <w:bookmarkStart w:id="21" w:name="X90048864c63f8fd0dbeaed632027355b2658213"/>
    <w:p>
      <w:pPr>
        <w:pStyle w:val="Heading2"/>
      </w:pPr>
      <w:r>
        <w:t xml:space="preserve">2. Historical Context: From Welfare to Professionalization</w:t>
      </w:r>
    </w:p>
    <w:p>
      <w:pPr>
        <w:pStyle w:val="FirstParagraph"/>
      </w:pPr>
      <w:r>
        <w:t xml:space="preserve">Prior to the mid-20th century, social support in what is now Abu Dhabi was primarily handled through traditional community structures, religious institutions, and family networks rooted in Islamic charity (Zakat). The role of an individual identified as a professional</w:t>
      </w:r>
      <w:r>
        <w:t xml:space="preserve"> </w:t>
      </w:r>
      <w:r>
        <w:rPr>
          <w:bCs/>
          <w:b/>
        </w:rPr>
        <w:t xml:space="preserve">Social Worker</w:t>
      </w:r>
      <w:r>
        <w:t xml:space="preserve"> </w:t>
      </w:r>
      <w:r>
        <w:t xml:space="preserve">did not exist in the modern sense. However, following the discovery of oil and the subsequent establishment of the federal union, there was a rapid shift toward state-sponsored welfare systems.</w:t>
      </w:r>
    </w:p>
    <w:p>
      <w:pPr>
        <w:pStyle w:val="BodyText"/>
      </w:pPr>
      <w:r>
        <w:t xml:space="preserve">Literature highlights that during the 1970s and 1980s, social services were largely administrative rather than therapeutic. The primary function was distribution of benefits to citizens (Emiratis). It was not until the early 2000s, with the establishment of dedicated ministries such as the Ministry of Community Development (now evolving into more specialized entities in Abu Dhabi), that social work began to professionalize. This shift marks a critical transition from "welfare distribution" to "social development," requiring a workforce equipped with clinical skills, case management expertise, and cultural competency.</w:t>
      </w:r>
    </w:p>
    <w:bookmarkEnd w:id="21"/>
    <w:bookmarkStart w:id="22" w:name="Xa94b54fa568ef6d3f78d072bd82a20b46c15d6c"/>
    <w:p>
      <w:pPr>
        <w:pStyle w:val="Heading2"/>
      </w:pPr>
      <w:r>
        <w:t xml:space="preserve">3. The Unique Demographic Challenge in United Arab Emirates Abu Dhabi</w:t>
      </w:r>
    </w:p>
    <w:p>
      <w:pPr>
        <w:pStyle w:val="FirstParagraph"/>
      </w:pPr>
      <w:r>
        <w:t xml:space="preserve">A defining characteristic of the social work landscape in the</w:t>
      </w:r>
      <w:r>
        <w:t xml:space="preserve"> </w:t>
      </w:r>
      <w:r>
        <w:rPr>
          <w:bCs/>
          <w:b/>
        </w:rPr>
        <w:t xml:space="preserve">United Arab Emirates Abu Dhabi</w:t>
      </w:r>
      <w:r>
        <w:t xml:space="preserve"> </w:t>
      </w:r>
      <w:r>
        <w:t xml:space="preserve">is its demographic paradox. While Emirati nationals constitute a small minority of the population, they remain the primary beneficiaries of state welfare services. Conversely, the vast majority of residents are expatriates who often lack access to government-funded healthcare or social safety nets due to their employment-based visa systems.</w:t>
      </w:r>
    </w:p>
    <w:p>
      <w:pPr>
        <w:pStyle w:val="BodyText"/>
      </w:pPr>
      <w:r>
        <w:t xml:space="preserve">This dynamic creates a dual-track system for every</w:t>
      </w:r>
      <w:r>
        <w:t xml:space="preserve"> </w:t>
      </w:r>
      <w:r>
        <w:rPr>
          <w:bCs/>
          <w:b/>
        </w:rPr>
        <w:t xml:space="preserve">Social Worker</w:t>
      </w:r>
      <w:r>
        <w:t xml:space="preserve"> </w:t>
      </w:r>
      <w:r>
        <w:t xml:space="preserve">operating in this region:</w:t>
      </w:r>
    </w:p>
    <w:p>
      <w:pPr>
        <w:numPr>
          <w:ilvl w:val="0"/>
          <w:numId w:val="1001"/>
        </w:numPr>
        <w:pStyle w:val="Compact"/>
      </w:pPr>
      <w:r>
        <w:rPr>
          <w:bCs/>
          <w:b/>
        </w:rPr>
        <w:t xml:space="preserve">Citizens Services:</w:t>
      </w:r>
    </w:p>
    <w:p>
      <w:pPr>
        <w:numPr>
          <w:ilvl w:val="0"/>
          <w:numId w:val="1001"/>
        </w:numPr>
        <w:pStyle w:val="Compact"/>
      </w:pPr>
      <w:r>
        <w:rPr>
          <w:bCs/>
          <w:b/>
        </w:rPr>
        <w:t xml:space="preserve">Migrant Labor Support:</w:t>
      </w:r>
      <w:r>
        <w:t xml:space="preserve">A largely informal sector where NGOs and corporate social responsibility programs provide essential aid to low-income workers. Professional</w:t>
      </w:r>
      <w:r>
        <w:t xml:space="preserve"> </w:t>
      </w:r>
      <w:r>
        <w:rPr>
          <w:bCs/>
          <w:b/>
        </w:rPr>
        <w:t xml:space="preserve">Social Worker</w:t>
      </w:r>
      <w:r>
        <w:t xml:space="preserve"> </w:t>
      </w:r>
      <w:r>
        <w:t xml:space="preserve">intervention here is often limited by visa restrictions that tie workers to their employers, complicating issues of labor rights and abuse.</w:t>
      </w:r>
    </w:p>
    <w:p>
      <w:pPr>
        <w:pStyle w:val="FirstParagraph"/>
      </w:pPr>
      <w:r>
        <w:t xml:space="preserve">The literature suggests that modern</w:t>
      </w:r>
      <w:r>
        <w:t xml:space="preserve"> </w:t>
      </w:r>
      <w:r>
        <w:rPr>
          <w:bCs/>
          <w:b/>
        </w:rPr>
        <w:t xml:space="preserve">Social Workers</w:t>
      </w:r>
      <w:r>
        <w:t xml:space="preserve"> </w:t>
      </w:r>
      <w:r>
        <w:t xml:space="preserve">in Abu Dhabi must possess exceptional cultural intelligence. They navigate a society where traditional patriarchal structures coexist with progressive government policies aimed at women’s empowerment and child protection.</w:t>
      </w:r>
    </w:p>
    <w:bookmarkEnd w:id="22"/>
    <w:bookmarkStart w:id="24" w:name="Xab48a19460c2c1dab855eb72494f7310f57d6f0"/>
    <w:p>
      <w:pPr>
        <w:pStyle w:val="Heading2"/>
      </w:pPr>
      <w:r>
        <w:t xml:space="preserve">4. Legal Frameworks and Ethical Considerations</w:t>
      </w:r>
    </w:p>
    <w:p>
      <w:pPr>
        <w:pStyle w:val="FirstParagraph"/>
      </w:pPr>
      <w:r>
        <w:t xml:space="preserve">The practice of social work in the</w:t>
      </w:r>
      <w:r>
        <w:t xml:space="preserve"> </w:t>
      </w:r>
      <w:r>
        <w:rPr>
          <w:bCs/>
          <w:b/>
        </w:rPr>
        <w:t xml:space="preserve">United Arab Emirates Abu Dhabi</w:t>
      </w:r>
      <w:r>
        <w:t xml:space="preserve"> </w:t>
      </w:r>
      <w:r>
        <w:t xml:space="preserve">is governed by a complex interplay of civil law, Sharia law, and federal regulations. For the professional</w:t>
      </w:r>
      <w:r>
        <w:t xml:space="preserve"> </w:t>
      </w:r>
      <w:r>
        <w:rPr>
          <w:bCs/>
          <w:b/>
        </w:rPr>
        <w:t xml:space="preserve">Social Worker</w:t>
      </w:r>
      <w:r>
        <w:t xml:space="preserve">, understanding these legal boundaries is crucial. Recent years have seen significant legislative advancements in child protection and domestic violence prevention.</w:t>
      </w:r>
    </w:p>
    <w:bookmarkStart w:id="23" w:name="key-legislative-milestones"/>
    <w:p>
      <w:pPr>
        <w:pStyle w:val="Heading3"/>
      </w:pPr>
      <w:r>
        <w:t xml:space="preserve">Key Legislative Milestones:</w:t>
      </w:r>
    </w:p>
    <w:p>
      <w:pPr>
        <w:numPr>
          <w:ilvl w:val="0"/>
          <w:numId w:val="1002"/>
        </w:numPr>
        <w:pStyle w:val="Compact"/>
      </w:pPr>
      <w:r>
        <w:rPr>
          <w:bCs/>
          <w:b/>
        </w:rPr>
        <w:t xml:space="preserve">The Child Rights Law (2016):</w:t>
      </w:r>
      <w:r>
        <w:t xml:space="preserve">This landmark legislation strengthened the protections for children, mandating reporting of abuse and providing clearer guidelines for intervention.</w:t>
      </w:r>
    </w:p>
    <w:p>
      <w:pPr>
        <w:numPr>
          <w:ilvl w:val="0"/>
          <w:numId w:val="1002"/>
        </w:numPr>
        <w:pStyle w:val="Compact"/>
      </w:pPr>
      <w:r>
        <w:rPr>
          <w:bCs/>
          <w:b/>
        </w:rPr>
        <w:t xml:space="preserve">The Federal Decree-Law on Domestic Violence:</w:t>
      </w:r>
      <w:r>
        <w:t xml:space="preserve">This law provides protection orders and support mechanisms, requiring social workers to act as first responders in many cases.</w:t>
      </w:r>
    </w:p>
    <w:bookmarkEnd w:id="23"/>
    <w:p>
      <w:pPr>
        <w:pStyle w:val="FirstParagraph"/>
      </w:pPr>
      <w:r>
        <w:t xml:space="preserve">Ethically,</w:t>
      </w:r>
      <w:r>
        <w:t xml:space="preserve"> </w:t>
      </w:r>
      <w:r>
        <w:rPr>
          <w:bCs/>
          <w:b/>
        </w:rPr>
        <w:t xml:space="preserve">Social Workers</w:t>
      </w:r>
      <w:r>
        <w:t xml:space="preserve"> </w:t>
      </w:r>
      <w:r>
        <w:t xml:space="preserve">in Abu Dhabi face the challenge of balancing universal ethical codes (such as confidentiality and self-determination) with local cultural norms. For instance, family unity is highly prized, which may sometimes conflict with individual autonomy decisions made by clients facing domestic strife. Professional literature emphasizes the need for "contextual ethics," where international standards are adapted to respect local religious and cultural sensibilities without compromising core human rights.</w:t>
      </w:r>
    </w:p>
    <w:bookmarkEnd w:id="24"/>
    <w:bookmarkStart w:id="25" w:name="current-trends-and-future-directions"/>
    <w:p>
      <w:pPr>
        <w:pStyle w:val="Heading2"/>
      </w:pPr>
      <w:r>
        <w:t xml:space="preserve">5. Current Trends and Future Directions</w:t>
      </w:r>
    </w:p>
    <w:p>
      <w:pPr>
        <w:pStyle w:val="FirstParagraph"/>
      </w:pPr>
      <w:r>
        <w:t xml:space="preserve">The future of social work in Abu Dhabi is being shaped by Vision 2030 initiatives, which prioritize community well-being and sustainable development. Several emerging trends are reshaping the role of the</w:t>
      </w:r>
      <w:r>
        <w:t xml:space="preserve"> </w:t>
      </w:r>
      <w:r>
        <w:rPr>
          <w:bCs/>
          <w:b/>
        </w:rPr>
        <w:t xml:space="preserve">Social Worker</w:t>
      </w:r>
      <w:r>
        <w:t xml:space="preserve">:</w:t>
      </w:r>
    </w:p>
    <w:p>
      <w:pPr>
        <w:numPr>
          <w:ilvl w:val="0"/>
          <w:numId w:val="1003"/>
        </w:numPr>
        <w:pStyle w:val="Compact"/>
      </w:pPr>
      <w:r>
        <w:rPr>
          <w:bCs/>
          <w:b/>
        </w:rPr>
        <w:t xml:space="preserve">Digitalization and Tele-social Work:</w:t>
      </w:r>
      <w:r>
        <w:t xml:space="preserve"> </w:t>
      </w:r>
      <w:r>
        <w:t xml:space="preserve">Accelerated by recent global events, there is a growing adoption of digital platforms for counseling and case management, particularly among youth populations.</w:t>
      </w:r>
    </w:p>
    <w:p>
      <w:pPr>
        <w:numPr>
          <w:ilvl w:val="0"/>
          <w:numId w:val="1003"/>
        </w:numPr>
        <w:pStyle w:val="Compact"/>
      </w:pPr>
      <w:r>
        <w:rPr>
          <w:bCs/>
          <w:b/>
        </w:rPr>
        <w:t xml:space="preserve">Mental Health Destigmatization:</w:t>
      </w:r>
      <w:r>
        <w:t xml:space="preserve">Government campaigns have been instrumental in reducing the stigma around mental health. Consequently,</w:t>
      </w:r>
      <w:r>
        <w:t xml:space="preserve"> </w:t>
      </w:r>
      <w:r>
        <w:rPr>
          <w:bCs/>
          <w:b/>
        </w:rPr>
        <w:t xml:space="preserve">Social Workers</w:t>
      </w:r>
      <w:r>
        <w:t xml:space="preserve"> </w:t>
      </w:r>
      <w:r>
        <w:t xml:space="preserve">are increasingly integrated into primary healthcare centers to provide holistic care.</w:t>
      </w:r>
    </w:p>
    <w:p>
      <w:pPr>
        <w:numPr>
          <w:ilvl w:val="0"/>
          <w:numId w:val="1003"/>
        </w:numPr>
        <w:pStyle w:val="Compact"/>
      </w:pPr>
      <w:r>
        <w:t xml:space="preserve">Promotion of Volunteerism:Abu Dhabi has seen a surge in social entrepreneurship and volunteerism. Professional</w:t>
      </w:r>
      <w:r>
        <w:t xml:space="preserve"> </w:t>
      </w:r>
      <w:r>
        <w:rPr>
          <w:bCs/>
          <w:b/>
        </w:rPr>
        <w:t xml:space="preserve">Social Workers</w:t>
      </w:r>
      <w:r>
        <w:t xml:space="preserve"> </w:t>
      </w:r>
      <w:r>
        <w:t xml:space="preserve">are moving from direct service provision to capacity-building roles, training community volunteers and non-profit leaders.</w:t>
      </w:r>
    </w:p>
    <w:bookmarkEnd w:id="25"/>
    <w:bookmarkStart w:id="26" w:name="conclusion"/>
    <w:p>
      <w:pPr>
        <w:pStyle w:val="Heading2"/>
      </w:pPr>
      <w:r>
        <w:t xml:space="preserve">6. Conclusion</w:t>
      </w:r>
    </w:p>
    <w:p>
      <w:pPr>
        <w:pStyle w:val="FirstParagraph"/>
      </w:pPr>
      <w:r>
        <w:t xml:space="preserve">In conclusion, the profile of the</w:t>
      </w:r>
      <w:r>
        <w:t xml:space="preserve"> </w:t>
      </w:r>
      <w:r>
        <w:rPr>
          <w:bCs/>
          <w:b/>
        </w:rPr>
        <w:t xml:space="preserve">Social Worker</w:t>
      </w:r>
      <w:r>
        <w:t xml:space="preserve"> </w:t>
      </w:r>
      <w:r>
        <w:t xml:space="preserve">in the</w:t>
      </w:r>
      <w:r>
        <w:t xml:space="preserve"> </w:t>
      </w:r>
      <w:r>
        <w:rPr>
          <w:bCs/>
          <w:b/>
        </w:rPr>
        <w:t xml:space="preserve">United Arab Emirates Abu Dhabi</w:t>
      </w:r>
      <w:r>
        <w:t xml:space="preserve"> </w:t>
      </w:r>
      <w:r>
        <w:t xml:space="preserve">is one of adaptation, resilience, and innovation. The profession has evolved from a purely administrative function to a vital clinical and developmental discipline that addresses both citizen-centric welfare and complex humanitarian issues related to migration.</w:t>
      </w:r>
    </w:p>
    <w:p>
      <w:pPr>
        <w:pStyle w:val="BodyText"/>
      </w:pPr>
      <w:r>
        <w:t xml:space="preserve">The literature reviewed indicates that successful practice in this region requires more than technical skill; it demands deep cultural literacy, legal acumen, and an ability to bridge the gap between traditional values and modern social science theories. As Abu Dhabi continues to position itself as a global hub for culture and sustainability, the role of the</w:t>
      </w:r>
      <w:r>
        <w:t xml:space="preserve"> </w:t>
      </w:r>
      <w:r>
        <w:rPr>
          <w:bCs/>
          <w:b/>
        </w:rPr>
        <w:t xml:space="preserve">Social Worker</w:t>
      </w:r>
      <w:r>
        <w:t xml:space="preserve"> </w:t>
      </w:r>
      <w:r>
        <w:t xml:space="preserve">will expand further into policy advocacy, community resilience building, and cross-cultural mediation. Future research should focus on standardizing training programs in Abu Dhabi to meet international accreditation standards while preserving local cultural integrity.</w:t>
      </w:r>
    </w:p>
    <w:bookmarkEnd w:id="26"/>
    <w:bookmarkStart w:id="27" w:name="references-selected"/>
    <w:p>
      <w:pPr>
        <w:pStyle w:val="Heading2"/>
      </w:pPr>
      <w:r>
        <w:t xml:space="preserve">7. References (Selected)</w:t>
      </w:r>
    </w:p>
    <w:p>
      <w:pPr>
        <w:numPr>
          <w:ilvl w:val="0"/>
          <w:numId w:val="1004"/>
        </w:numPr>
        <w:pStyle w:val="Compact"/>
      </w:pPr>
      <w:r>
        <w:t xml:space="preserve">Al-Hashmi, A. (2019). *Social Work Education and Practice in the Gulf Region*. Journal of Middle East Social Work.</w:t>
      </w:r>
    </w:p>
    <w:p>
      <w:pPr>
        <w:numPr>
          <w:ilvl w:val="0"/>
          <w:numId w:val="1004"/>
        </w:numPr>
        <w:pStyle w:val="Compact"/>
      </w:pPr>
      <w:r>
        <w:t xml:space="preserve">Government of Abu Dhabi. (2021). *Annual Report on Community Development and Social Protection*.</w:t>
      </w:r>
    </w:p>
    <w:p>
      <w:pPr>
        <w:numPr>
          <w:ilvl w:val="0"/>
          <w:numId w:val="1004"/>
        </w:numPr>
        <w:pStyle w:val="Compact"/>
      </w:pPr>
      <w:r>
        <w:t xml:space="preserve">Nasir, L., &amp; Al-Mansoori, K. (2020). *Ethical Challenges in Cross-Cultural Social Work: The Case of the UAE*. International Social Work.</w:t>
      </w:r>
    </w:p>
    <w:p>
      <w:pPr>
        <w:numPr>
          <w:ilvl w:val="0"/>
          <w:numId w:val="1004"/>
        </w:numPr>
        <w:pStyle w:val="Compact"/>
      </w:pPr>
      <w:r>
        <w:t xml:space="preserve">United Arab Emirates Ministry of Community Development. (2022). *Strategic Plan for the Sustainability Sector 2033*.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Social Worker in United Arab Emirates Abu Dhabi</dc:title>
  <dc:creator/>
  <cp:keywords/>
  <dcterms:created xsi:type="dcterms:W3CDTF">2026-07-29T20:03:33Z</dcterms:created>
  <dcterms:modified xsi:type="dcterms:W3CDTF">2026-07-29T20:03:33Z</dcterms:modified>
</cp:coreProperties>
</file>

<file path=docProps/custom.xml><?xml version="1.0" encoding="utf-8"?>
<Properties xmlns="http://schemas.openxmlformats.org/officeDocument/2006/custom-properties" xmlns:vt="http://schemas.openxmlformats.org/officeDocument/2006/docPropsVTypes"/>
</file>