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Special</w:t>
      </w:r>
      <w:r>
        <w:t xml:space="preserve"> </w:t>
      </w:r>
      <w:r>
        <w:t xml:space="preserve">Education</w:t>
      </w:r>
      <w:r>
        <w:t xml:space="preserve"> </w:t>
      </w:r>
      <w:r>
        <w:t xml:space="preserve">in</w:t>
      </w:r>
      <w:r>
        <w:t xml:space="preserve"> </w:t>
      </w:r>
      <w:r>
        <w:t xml:space="preserve">Urban</w:t>
      </w:r>
      <w:r>
        <w:t xml:space="preserve"> </w:t>
      </w:r>
      <w:r>
        <w:t xml:space="preserve">Philippines</w:t>
      </w:r>
    </w:p>
    <w:bookmarkStart w:id="20" w:name="book-report-analysis"/>
    <w:p>
      <w:pPr>
        <w:pStyle w:val="Heading1"/>
      </w:pPr>
      <w:r>
        <w:t xml:space="preserve">Book Report Analysis</w:t>
      </w:r>
    </w:p>
    <w:p>
      <w:pPr>
        <w:pStyle w:val="FirstParagraph"/>
      </w:pPr>
      <w:r>
        <w:rPr>
          <w:bCs/>
          <w:b/>
        </w:rPr>
        <w:t xml:space="preserve">Title:</w:t>
      </w:r>
      <w:r>
        <w:t xml:space="preserve"> </w:t>
      </w:r>
      <w:r>
        <w:t xml:space="preserve">Inclusive Horizons: Strategies for the Special Education Teacher in Urban Manila, Philippines</w:t>
      </w:r>
    </w:p>
    <w:p>
      <w:pPr>
        <w:pStyle w:val="BodyText"/>
      </w:pPr>
      <w:r>
        <w:rPr>
          <w:bCs/>
          <w:b/>
        </w:rPr>
        <w:t xml:space="preserve">Date of Submission:</w:t>
      </w:r>
      <w:r>
        <w:t xml:space="preserve"> </w:t>
      </w:r>
      <w:r>
        <w:t xml:space="preserve">October 26, 2023</w:t>
      </w:r>
    </w:p>
    <w:p>
      <w:pPr>
        <w:pStyle w:val="BodyText"/>
      </w:pPr>
      <w:r>
        <w:rPr>
          <w:bCs/>
          <w:b/>
        </w:rPr>
        <w:t xml:space="preserve">Sector Focus:</w:t>
      </w:r>
      <w:r>
        <w:t xml:space="preserve"> </w:t>
      </w:r>
      <w:r>
        <w:t xml:space="preserve">Public and Private Educational Institutions in Philippines Manila</w:t>
      </w:r>
    </w:p>
    <w:p>
      <w:pPr>
        <w:pStyle w:val="BodyText"/>
      </w:pPr>
      <w:r>
        <w:rPr>
          <w:iCs/>
          <w:i/>
        </w:rPr>
        <w:t xml:space="preserve">Note: This report synthesizes key pedagogical frameworks, legal mandates under the Philippine Department of Education (DepEd), and socio-cultural realities specific to a Special Education Teacher operating within the dense urban landscape of Philippines Manila.</w:t>
      </w:r>
    </w:p>
    <w:bookmarkEnd w:id="20"/>
    <w:bookmarkStart w:id="21" w:name="X3e974b3ce906c59808c680c1c9e1f13ee6ee480"/>
    <w:p>
      <w:pPr>
        <w:pStyle w:val="Heading2"/>
      </w:pPr>
      <w:r>
        <w:t xml:space="preserve">I. Introduction: The Context of Special Education in Philippines Manila</w:t>
      </w:r>
    </w:p>
    <w:p>
      <w:pPr>
        <w:pStyle w:val="FirstParagraph"/>
      </w:pPr>
      <w:r>
        <w:t xml:space="preserve">The landscape of inclusive education in the Philippines has undergone significant transformation over the last decade, driven by international commitments to the Sustainable Development Goals (SDGs) and national legislative acts such as Republic Act No. 7277 (The Magna Carta for Disabled Persons) and Republic Act No. 10533 (Enhanced Basic Education Act of 2013). However, the implementation of these laws presents unique challenges, particularly within the capital region.</w:t>
      </w:r>
      <w:r>
        <w:t xml:space="preserve"> </w:t>
      </w:r>
      <w:r>
        <w:rPr>
          <w:bCs/>
          <w:b/>
        </w:rPr>
        <w:t xml:space="preserve">Philippines Manila</w:t>
      </w:r>
      <w:r>
        <w:t xml:space="preserve">, as a highly urbanized center with stark socio-economic disparities, serves as a critical testing ground for educational equity. This book report analyzes the role and responsibilities of the</w:t>
      </w:r>
      <w:r>
        <w:t xml:space="preserve"> </w:t>
      </w:r>
      <w:r>
        <w:rPr>
          <w:bCs/>
          <w:b/>
        </w:rPr>
        <w:t xml:space="preserve">Special Education Teacher</w:t>
      </w:r>
      <w:r>
        <w:t xml:space="preserve"> </w:t>
      </w:r>
      <w:r>
        <w:t xml:space="preserve">within this complex ecosystem, highlighting the intersection of policy, pedagogy, and community engagement.</w:t>
      </w:r>
    </w:p>
    <w:p>
      <w:pPr>
        <w:pStyle w:val="BodyText"/>
      </w:pPr>
      <w:r>
        <w:t xml:space="preserve">The primary objective of this analysis is to understand how a</w:t>
      </w:r>
      <w:r>
        <w:t xml:space="preserve"> </w:t>
      </w:r>
      <w:r>
        <w:rPr>
          <w:bCs/>
          <w:b/>
        </w:rPr>
        <w:t xml:space="preserve">Special Education Teacher</w:t>
      </w:r>
      <w:r>
        <w:t xml:space="preserve"> </w:t>
      </w:r>
      <w:r>
        <w:t xml:space="preserve">navigates the dual pressures of standardized curriculum requirements and the individualized needs of learners with disabilities (LWDs) in one of Asia’s most populous cities. The urban density of</w:t>
      </w:r>
      <w:r>
        <w:t xml:space="preserve"> </w:t>
      </w:r>
      <w:r>
        <w:rPr>
          <w:bCs/>
          <w:b/>
        </w:rPr>
        <w:t xml:space="preserve">Philippines Manila</w:t>
      </w:r>
      <w:r>
        <w:t xml:space="preserve"> </w:t>
      </w:r>
      <w:r>
        <w:t xml:space="preserve">offers resources but also exacerbates issues related to overcrowding, limited infrastructure, and diverse linguistic backgrounds.</w:t>
      </w:r>
    </w:p>
    <w:bookmarkEnd w:id="21"/>
    <w:bookmarkStart w:id="24" w:name="Xadefb96d500f8400e2d8e6913ee295ed1080342"/>
    <w:p>
      <w:pPr>
        <w:pStyle w:val="Heading2"/>
      </w:pPr>
      <w:r>
        <w:t xml:space="preserve">II. Key Themes and Pedagogical Challenges</w:t>
      </w:r>
    </w:p>
    <w:bookmarkStart w:id="22" w:name="Xdedce8fd720b5c9a65aa093c8d7326681152f4e"/>
    <w:p>
      <w:pPr>
        <w:pStyle w:val="Heading3"/>
      </w:pPr>
      <w:r>
        <w:t xml:space="preserve">A. The Reality of Inclusive Classrooms in Metropolitan Schools</w:t>
      </w:r>
    </w:p>
    <w:p>
      <w:pPr>
        <w:pStyle w:val="FirstParagraph"/>
      </w:pPr>
      <w:r>
        <w:t xml:space="preserve">In many public schools located in the districts of</w:t>
      </w:r>
      <w:r>
        <w:t xml:space="preserve"> </w:t>
      </w:r>
      <w:r>
        <w:rPr>
          <w:bCs/>
          <w:b/>
        </w:rPr>
        <w:t xml:space="preserve">Philippines Manila</w:t>
      </w:r>
      <w:r>
        <w:t xml:space="preserve">, inclusive education often manifests as mainstreaming, where students with special needs are placed in regular classrooms without adequate support structures. For the</w:t>
      </w:r>
      <w:r>
        <w:t xml:space="preserve"> </w:t>
      </w:r>
      <w:r>
        <w:rPr>
          <w:bCs/>
          <w:b/>
        </w:rPr>
        <w:t xml:space="preserve">Special Education Teacher</w:t>
      </w:r>
      <w:r>
        <w:t xml:space="preserve">, this reality creates a high-stress environment. Unlike specialized institutions found in some Western contexts, the typical Filipino public school teacher must manage class sizes exceeding 40 to 50 students while simultaneously addressing the Individualized Education Program (IEP) requirements mandated by law.</w:t>
      </w:r>
    </w:p>
    <w:p>
      <w:pPr>
        <w:pStyle w:val="BodyText"/>
      </w:pPr>
      <w:r>
        <w:t xml:space="preserve">The book report highlights that effective teaching in this context requires a shift from a "deficit model" to a "strength-based model." The</w:t>
      </w:r>
      <w:r>
        <w:t xml:space="preserve"> </w:t>
      </w:r>
      <w:r>
        <w:rPr>
          <w:bCs/>
          <w:b/>
        </w:rPr>
        <w:t xml:space="preserve">Special Education Teacher</w:t>
      </w:r>
      <w:r>
        <w:t xml:space="preserve"> </w:t>
      </w:r>
      <w:r>
        <w:t xml:space="preserve">must identify the unique capabilities of each learner, whether it is visual memory in dyslexic students or kinesthetic learning abilities in those with ADHD. This approach is vital for maintaining student dignity and engagement amidst the chaos of overcrowded classrooms.</w:t>
      </w:r>
    </w:p>
    <w:bookmarkEnd w:id="22"/>
    <w:bookmarkStart w:id="23" w:name="b.-resource-scarcity-and-innovation"/>
    <w:p>
      <w:pPr>
        <w:pStyle w:val="Heading3"/>
      </w:pPr>
      <w:r>
        <w:t xml:space="preserve">B. Resource Scarcity and Innovation</w:t>
      </w:r>
    </w:p>
    <w:p>
      <w:pPr>
        <w:pStyle w:val="FirstParagraph"/>
      </w:pPr>
      <w:r>
        <w:t xml:space="preserve">A recurring theme in literature regarding special education in the Philippines is resource scarcity. In</w:t>
      </w:r>
      <w:r>
        <w:t xml:space="preserve"> </w:t>
      </w:r>
      <w:r>
        <w:rPr>
          <w:bCs/>
          <w:b/>
        </w:rPr>
        <w:t xml:space="preserve">Philippines Manila</w:t>
      </w:r>
      <w:r>
        <w:t xml:space="preserve">, while private schools may have access to sensory rooms and speech therapists, public schools often operate with minimal materials. Consequently, the role of the</w:t>
      </w:r>
      <w:r>
        <w:t xml:space="preserve"> </w:t>
      </w:r>
      <w:r>
        <w:rPr>
          <w:bCs/>
          <w:b/>
        </w:rPr>
        <w:t xml:space="preserve">Special Education Teacher</w:t>
      </w:r>
      <w:r>
        <w:t xml:space="preserve"> </w:t>
      </w:r>
      <w:r>
        <w:t xml:space="preserve">becomes that of an innovator and advocate.</w:t>
      </w:r>
    </w:p>
    <w:p>
      <w:pPr>
        <w:pStyle w:val="BodyText"/>
      </w:pPr>
      <w:r>
        <w:t xml:space="preserve">The document emphasizes the importance of low-cost, high-impact interventions. Teachers are encouraged to utilize locally sourced materials for sensory toys and instructional aids. Furthermore, collaboration with community health workers and local government units (LGUs) in Manila is crucial. The</w:t>
      </w:r>
      <w:r>
        <w:t xml:space="preserve"> </w:t>
      </w:r>
      <w:r>
        <w:rPr>
          <w:bCs/>
          <w:b/>
        </w:rPr>
        <w:t xml:space="preserve">Special Education Teacher</w:t>
      </w:r>
      <w:r>
        <w:t xml:space="preserve"> </w:t>
      </w:r>
      <w:r>
        <w:t xml:space="preserve">acts as a bridge between the school and these external support systems, ensuring that medical, therapeutic, and nutritional needs are met alongside academic goals.</w:t>
      </w:r>
    </w:p>
    <w:bookmarkEnd w:id="23"/>
    <w:bookmarkEnd w:id="24"/>
    <w:bookmarkStart w:id="27" w:name="X7496c69de671e270b7626bfce727cce7bdcab1b"/>
    <w:p>
      <w:pPr>
        <w:pStyle w:val="Heading2"/>
      </w:pPr>
      <w:r>
        <w:t xml:space="preserve">III. Socio-Cultural Dynamics and Family Engagement</w:t>
      </w:r>
    </w:p>
    <w:bookmarkStart w:id="25" w:name="a.-the-role-of-the-family-unit"/>
    <w:p>
      <w:pPr>
        <w:pStyle w:val="Heading3"/>
      </w:pPr>
      <w:r>
        <w:t xml:space="preserve">A. The Role of the Family Unit</w:t>
      </w:r>
    </w:p>
    <w:p>
      <w:pPr>
        <w:pStyle w:val="FirstParagraph"/>
      </w:pPr>
      <w:r>
        <w:t xml:space="preserve">In Filipino culture, the family is the cornerstone of society. For a</w:t>
      </w:r>
      <w:r>
        <w:t xml:space="preserve"> </w:t>
      </w:r>
      <w:r>
        <w:rPr>
          <w:bCs/>
          <w:b/>
        </w:rPr>
        <w:t xml:space="preserve">Special Education Teacher</w:t>
      </w:r>
      <w:r>
        <w:t xml:space="preserve">, engaging with families in</w:t>
      </w:r>
      <w:r>
        <w:t xml:space="preserve"> </w:t>
      </w:r>
      <w:r>
        <w:rPr>
          <w:bCs/>
          <w:b/>
        </w:rPr>
        <w:t xml:space="preserve">Philippines Manila</w:t>
      </w:r>
      <w:r>
        <w:t xml:space="preserve"> </w:t>
      </w:r>
      <w:r>
        <w:t xml:space="preserve">requires cultural sensitivity and empathy. Many parents in urban poor communities may feel shame or stigma regarding their child's disability due to deep-seated societal misconceptions or religious beliefs that view disability as a punishment.</w:t>
      </w:r>
    </w:p>
    <w:p>
      <w:pPr>
        <w:pStyle w:val="BodyText"/>
      </w:pPr>
      <w:r>
        <w:t xml:space="preserve">The report underscores the necessity of family-centered planning. The</w:t>
      </w:r>
      <w:r>
        <w:t xml:space="preserve"> </w:t>
      </w:r>
      <w:r>
        <w:rPr>
          <w:bCs/>
          <w:b/>
        </w:rPr>
        <w:t xml:space="preserve">Special Education Teacher</w:t>
      </w:r>
      <w:r>
        <w:t xml:space="preserve"> </w:t>
      </w:r>
      <w:r>
        <w:t xml:space="preserve">must serve not only as an educator but also as a counselor and advocate, helping parents navigate the bureaucratic processes for government assistance (such as the Philippine Commission on People with Disability [PCPD] ID cards). Building trust is essential; when parents feel supported rather than judged, they become active partners in their child’s educational journey.</w:t>
      </w:r>
    </w:p>
    <w:bookmarkEnd w:id="25"/>
    <w:bookmarkStart w:id="26" w:name="b.-language-and-communication"/>
    <w:p>
      <w:pPr>
        <w:pStyle w:val="Heading3"/>
      </w:pPr>
      <w:r>
        <w:t xml:space="preserve">B. Language and Communication</w:t>
      </w:r>
    </w:p>
    <w:p>
      <w:pPr>
        <w:pStyle w:val="FirstParagraph"/>
      </w:pPr>
      <w:r>
        <w:rPr>
          <w:bCs/>
          <w:b/>
        </w:rPr>
        <w:t xml:space="preserve">Philippines Manila</w:t>
      </w:r>
      <w:r>
        <w:t xml:space="preserve"> </w:t>
      </w:r>
      <w:r>
        <w:t xml:space="preserve">is a melting pot of languages, with Tagalog (Filipino), English, Cebuano, and various local dialects spoken within its borders. The</w:t>
      </w:r>
      <w:r>
        <w:t xml:space="preserve"> </w:t>
      </w:r>
      <w:r>
        <w:rPr>
          <w:bCs/>
          <w:b/>
        </w:rPr>
        <w:t xml:space="preserve">Special Education Teacher</w:t>
      </w:r>
      <w:r>
        <w:t xml:space="preserve"> </w:t>
      </w:r>
      <w:r>
        <w:t xml:space="preserve">must be proficient in these communicative nuances. For students with speech and language disorders, the teacher may need to employ multilingual strategies or work closely with speech-language pathologists who understand the linguistic context of the child’s home environment.</w:t>
      </w:r>
    </w:p>
    <w:bookmarkEnd w:id="26"/>
    <w:bookmarkEnd w:id="27"/>
    <w:bookmarkStart w:id="28" w:name="X40c12e4302394a143e4f9c6cb828f54d3fe8bc4"/>
    <w:p>
      <w:pPr>
        <w:pStyle w:val="Heading2"/>
      </w:pPr>
      <w:r>
        <w:t xml:space="preserve">IV. Professional Development and Mental Resilience</w:t>
      </w:r>
    </w:p>
    <w:p>
      <w:pPr>
        <w:pStyle w:val="FirstParagraph"/>
      </w:pPr>
      <w:r>
        <w:t xml:space="preserve">The emotional toll on educators in high-stress environments is a significant concern. The role of the</w:t>
      </w:r>
      <w:r>
        <w:t xml:space="preserve"> </w:t>
      </w:r>
      <w:r>
        <w:rPr>
          <w:bCs/>
          <w:b/>
        </w:rPr>
        <w:t xml:space="preserve">Special Education Teacher</w:t>
      </w:r>
      <w:r>
        <w:t xml:space="preserve"> </w:t>
      </w:r>
      <w:r>
        <w:t xml:space="preserve">in</w:t>
      </w:r>
      <w:r>
        <w:t xml:space="preserve"> </w:t>
      </w:r>
      <w:r>
        <w:rPr>
          <w:bCs/>
          <w:b/>
        </w:rPr>
        <w:t xml:space="preserve">Philippines Manila</w:t>
      </w:r>
      <w:r>
        <w:t xml:space="preserve"> </w:t>
      </w:r>
      <w:r>
        <w:t xml:space="preserve">often involves dealing with burnout due to heavy workloads, lack of administrative support, and societal indifference. The book report suggests that sustainable practice requires robust professional learning communities (PLCs).</w:t>
      </w:r>
    </w:p>
    <w:p>
      <w:pPr>
        <w:pStyle w:val="BodyText"/>
      </w:pPr>
      <w:r>
        <w:t xml:space="preserve">Institutions in Manila are increasingly recognizing the need for continuous professional development beyond initial teacher education. Workshops on applied behavior analysis (ABA), assistive technology, and trauma-informed care are essential. Moreover, peer support networks among</w:t>
      </w:r>
      <w:r>
        <w:t xml:space="preserve"> </w:t>
      </w:r>
      <w:r>
        <w:rPr>
          <w:bCs/>
          <w:b/>
        </w:rPr>
        <w:t xml:space="preserve">Special Education Teachers</w:t>
      </w:r>
      <w:r>
        <w:t xml:space="preserve"> </w:t>
      </w:r>
      <w:r>
        <w:t xml:space="preserve">in the city can provide a vital outlet for sharing strategies and reducing professional isolation.</w:t>
      </w:r>
    </w:p>
    <w:bookmarkEnd w:id="28"/>
    <w:bookmarkStart w:id="29" w:name="v.-conclusion-a-call-for-systemic-change"/>
    <w:p>
      <w:pPr>
        <w:pStyle w:val="Heading2"/>
      </w:pPr>
      <w:r>
        <w:t xml:space="preserve">V. Conclusion: A Call for Systemic Change</w:t>
      </w:r>
    </w:p>
    <w:p>
      <w:pPr>
        <w:pStyle w:val="FirstParagraph"/>
      </w:pPr>
      <w:r>
        <w:t xml:space="preserve">In conclusion, the role of the</w:t>
      </w:r>
      <w:r>
        <w:t xml:space="preserve"> </w:t>
      </w:r>
      <w:r>
        <w:rPr>
          <w:bCs/>
          <w:b/>
        </w:rPr>
        <w:t xml:space="preserve">Special Education Teacher</w:t>
      </w:r>
      <w:r>
        <w:t xml:space="preserve"> </w:t>
      </w:r>
      <w:r>
        <w:t xml:space="preserve">in</w:t>
      </w:r>
      <w:r>
        <w:t xml:space="preserve"> </w:t>
      </w:r>
      <w:r>
        <w:rPr>
          <w:bCs/>
          <w:b/>
        </w:rPr>
        <w:t xml:space="preserve">Philippines Manila</w:t>
      </w:r>
      <w:r>
        <w:t xml:space="preserve"> </w:t>
      </w:r>
      <w:r>
        <w:t xml:space="preserve">is multifaceted, demanding a blend of pedagogical expertise, cultural competency, and systemic advocacy. While the challenges are daunting—ranging from infrastructure deficits to societal stigma—the potential for impact is profound.</w:t>
      </w:r>
    </w:p>
    <w:p>
      <w:pPr>
        <w:pStyle w:val="BodyText"/>
      </w:pPr>
      <w:r>
        <w:t xml:space="preserve">To truly realize inclusive education in the Philippines, several recommendations emerge from this analysis:</w:t>
      </w:r>
    </w:p>
    <w:p>
      <w:pPr>
        <w:numPr>
          <w:ilvl w:val="0"/>
          <w:numId w:val="1001"/>
        </w:numPr>
        <w:pStyle w:val="Compact"/>
      </w:pPr>
      <w:r>
        <w:rPr>
          <w:bCs/>
          <w:b/>
        </w:rPr>
        <w:t xml:space="preserve">Policymaking:</w:t>
      </w:r>
      <w:r>
        <w:t xml:space="preserve"> </w:t>
      </w:r>
      <w:r>
        <w:t xml:space="preserve">The Department of Education must enforce stricter ratios of support staff to students with special needs in public schools across Manila.</w:t>
      </w:r>
    </w:p>
    <w:p>
      <w:pPr>
        <w:numPr>
          <w:ilvl w:val="0"/>
          <w:numId w:val="1001"/>
        </w:numPr>
        <w:pStyle w:val="Compact"/>
      </w:pPr>
      <w:r>
        <w:rPr>
          <w:bCs/>
          <w:b/>
        </w:rPr>
        <w:t xml:space="preserve">Funding:</w:t>
      </w:r>
      <w:r>
        <w:t xml:space="preserve"> </w:t>
      </w:r>
      <w:r>
        <w:t xml:space="preserve">Increased budget allocation for assistive technology and sensory infrastructure is critical.</w:t>
      </w:r>
    </w:p>
    <w:p>
      <w:pPr>
        <w:numPr>
          <w:ilvl w:val="0"/>
          <w:numId w:val="1001"/>
        </w:numPr>
        <w:pStyle w:val="Compact"/>
      </w:pPr>
      <w:r>
        <w:t xml:space="preserve">Teacher Support:Mandatory mental health and resilience training for all educators, particularly those in special education roles.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Special Education in Urban Philippines</dc:title>
  <dc:creator/>
  <cp:keywords/>
  <dcterms:created xsi:type="dcterms:W3CDTF">2026-07-29T14:49:05Z</dcterms:created>
  <dcterms:modified xsi:type="dcterms:W3CDTF">2026-07-29T14:49:05Z</dcterms:modified>
</cp:coreProperties>
</file>

<file path=docProps/custom.xml><?xml version="1.0" encoding="utf-8"?>
<Properties xmlns="http://schemas.openxmlformats.org/officeDocument/2006/custom-properties" xmlns:vt="http://schemas.openxmlformats.org/officeDocument/2006/docPropsVTypes"/>
</file>