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Primary</w:t>
      </w:r>
      <w:r>
        <w:t xml:space="preserve"> </w:t>
      </w:r>
      <w:r>
        <w:t xml:space="preserve">Teacher</w:t>
      </w:r>
      <w:r>
        <w:t xml:space="preserve"> </w:t>
      </w:r>
      <w:r>
        <w:t xml:space="preserve">in</w:t>
      </w:r>
      <w:r>
        <w:t xml:space="preserve"> </w:t>
      </w:r>
      <w:r>
        <w:t xml:space="preserve">Canada</w:t>
      </w:r>
      <w:r>
        <w:t xml:space="preserve"> </w:t>
      </w:r>
      <w:r>
        <w:t xml:space="preserve">Toronto</w:t>
      </w:r>
    </w:p>
    <w:bookmarkStart w:id="29" w:name="comprehensive-book-report-analysis"/>
    <w:p>
      <w:pPr>
        <w:pStyle w:val="Heading1"/>
      </w:pPr>
      <w:r>
        <w:t xml:space="preserve">Comprehensive Book Report Analysis</w:t>
      </w:r>
    </w:p>
    <w:bookmarkStart w:id="28" w:name="X217eb1961b57fb9dfa32291eac66071f2bdaea8"/>
    <w:p>
      <w:pPr>
        <w:pStyle w:val="Heading2"/>
      </w:pPr>
      <w:r>
        <w:t xml:space="preserve">Focusing on the Role of the Teacher Primary within the Educational Landscape of Canada Toronto</w:t>
      </w:r>
    </w:p>
    <w:p>
      <w:pPr>
        <w:pStyle w:val="FirstParagraph"/>
      </w:pPr>
      <w:r>
        <w:rPr>
          <w:bCs/>
          <w:b/>
        </w:rPr>
        <w:t xml:space="preserve">Date:</w:t>
      </w:r>
      <w:r>
        <w:t xml:space="preserve"> </w:t>
      </w:r>
      <w:r>
        <w:t xml:space="preserve">October 26, 2023</w:t>
      </w:r>
      <w:r>
        <w:br/>
      </w:r>
    </w:p>
    <w:p>
      <w:pPr>
        <w:pStyle w:val="BodyText"/>
      </w:pPr>
      <w:r>
        <w:t xml:space="preserve">Subject:</w:t>
      </w:r>
      <w:r>
        <w:t xml:space="preserve"> </w:t>
      </w:r>
      <w:r>
        <w:rPr>
          <w:bCs/>
          <w:b/>
        </w:rPr>
        <w:t xml:space="preserve">Prepared For:</w:t>
      </w:r>
      <w:r>
        <w:t xml:space="preserve">District School Board Review Committee</w:t>
      </w:r>
    </w:p>
    <w:bookmarkStart w:id="20" w:name="introduction"/>
    <w:p>
      <w:pPr>
        <w:pStyle w:val="Heading3"/>
      </w:pPr>
      <w:r>
        <w:t xml:space="preserve">1. Introduction</w:t>
      </w:r>
    </w:p>
    <w:p>
      <w:pPr>
        <w:pStyle w:val="FirstParagraph"/>
      </w:pPr>
      <w:r>
        <w:t xml:space="preserve">The landscape of primary education in Canada Toronto is distinctively vibrant, characterized by a rigorous commitment to inclusivity, diversity, and academic excellence. This Book Report serves as an analytical synthesis of contemporary pedagogical literature that specifically addresses the challenges and opportunities faced by the</w:t>
      </w:r>
      <w:r>
        <w:t xml:space="preserve"> </w:t>
      </w:r>
      <w:r>
        <w:rPr>
          <w:bCs/>
          <w:b/>
        </w:rPr>
        <w:t xml:space="preserve">Teacher Primary</w:t>
      </w:r>
      <w:r>
        <w:t xml:space="preserve">. It is imperative to contextualize these educational strategies within the unique cultural and administrative framework of</w:t>
      </w:r>
      <w:r>
        <w:t xml:space="preserve"> </w:t>
      </w:r>
      <w:r>
        <w:rPr>
          <w:bCs/>
          <w:b/>
        </w:rPr>
        <w:t xml:space="preserve">Canada Toronto</w:t>
      </w:r>
      <w:r>
        <w:t xml:space="preserve">, a metropolis known for its multicultural fabric and progressive policy-making. The core thesis of this report argues that effective primary education in this region requires a dual focus: mastering foundational literacy and numeracy while simultaneously nurturing social-emotional learning (SEL) through culturally responsive teaching practices.</w:t>
      </w:r>
    </w:p>
    <w:bookmarkEnd w:id="20"/>
    <w:bookmarkStart w:id="21" w:name="X7390711d8e6199b24c51e3cd15ea3efbcea55f7"/>
    <w:p>
      <w:pPr>
        <w:pStyle w:val="Heading3"/>
      </w:pPr>
      <w:r>
        <w:t xml:space="preserve">2. Contextualizing the Environment: Canada Toronto</w:t>
      </w:r>
    </w:p>
    <w:p>
      <w:pPr>
        <w:pStyle w:val="FirstParagraph"/>
      </w:pPr>
      <w:r>
        <w:t xml:space="preserve">To understand the expectations placed upon educators, one must first appreciate the environment of</w:t>
      </w:r>
      <w:r>
        <w:t xml:space="preserve"> </w:t>
      </w:r>
      <w:r>
        <w:rPr>
          <w:bCs/>
          <w:b/>
        </w:rPr>
        <w:t xml:space="preserve">Canada Toronto</w:t>
      </w:r>
      <w:r>
        <w:t xml:space="preserve">. As one of North America’s most diverse cities, schools in this jurisdiction are microcosms of global cultures. The student body often includes significant populations of English Language Learners (ELLs) and students from varied socioeconomic backgrounds. Consequently, textbooks and professional development materials available to the</w:t>
      </w:r>
      <w:r>
        <w:t xml:space="preserve"> </w:t>
      </w:r>
      <w:r>
        <w:rPr>
          <w:bCs/>
          <w:b/>
        </w:rPr>
        <w:t xml:space="preserve">Teacher Primary</w:t>
      </w:r>
      <w:r>
        <w:t xml:space="preserve"> </w:t>
      </w:r>
      <w:r>
        <w:t xml:space="preserve">in this region cannot rely on a one-size-fits-all approach. Instead, literature relevant to this context emphasizes "Universal Design for Learning" (UDL), ensuring that curriculum access is equitable regardless of a student’s linguistic or cultural starting point.</w:t>
      </w:r>
    </w:p>
    <w:p>
      <w:pPr>
        <w:pStyle w:val="BodyText"/>
      </w:pPr>
      <w:r>
        <w:t xml:space="preserve">Furthermore, the educational governance in</w:t>
      </w:r>
      <w:r>
        <w:t xml:space="preserve"> </w:t>
      </w:r>
      <w:r>
        <w:rPr>
          <w:bCs/>
          <w:b/>
        </w:rPr>
        <w:t xml:space="preserve">Canada Toronto</w:t>
      </w:r>
      <w:r>
        <w:t xml:space="preserve">, governed largely by the Ontario Ministry of Education and local district school boards (such as the Toronto District School Board and the Toronto Catholic District School Board), mandates specific standards for graduation credits and core competencies. The literature reviewed highlights that success in this region is measured not just by standardized test scores, but also by student engagement, community involvement, and holistic well-being.</w:t>
      </w:r>
    </w:p>
    <w:bookmarkEnd w:id="21"/>
    <w:bookmarkStart w:id="25" w:name="the-role-of-the-teacher-primary"/>
    <w:p>
      <w:pPr>
        <w:pStyle w:val="Heading3"/>
      </w:pPr>
      <w:r>
        <w:t xml:space="preserve">3. The Role of the Teacher Primary</w:t>
      </w:r>
    </w:p>
    <w:p>
      <w:pPr>
        <w:pStyle w:val="FirstParagraph"/>
      </w:pPr>
      <w:r>
        <w:t xml:space="preserve">The term</w:t>
      </w:r>
      <w:r>
        <w:t xml:space="preserve"> </w:t>
      </w:r>
      <w:r>
        <w:rPr>
          <w:bCs/>
          <w:b/>
        </w:rPr>
        <w:t xml:space="preserve">Teacher Primary</w:t>
      </w:r>
      <w:r>
        <w:t xml:space="preserve"> </w:t>
      </w:r>
      <w:r>
        <w:t xml:space="preserve">in this context refers to educators working with students typically aged four to eight years old (Junior Kindergarten through Grade 2). This report analyzes three key pillars of literature that define the modern role of this educator:</w:t>
      </w:r>
    </w:p>
    <w:bookmarkStart w:id="22" w:name="a.-literacy-and-numeracy-foundations"/>
    <w:p>
      <w:pPr>
        <w:pStyle w:val="Heading4"/>
      </w:pPr>
      <w:r>
        <w:t xml:space="preserve">A. Literacy and Numeracy Foundations</w:t>
      </w:r>
    </w:p>
    <w:p>
      <w:pPr>
        <w:pStyle w:val="FirstParagraph"/>
      </w:pPr>
      <w:r>
        <w:t xml:space="preserve">Traditional pedagogy emphasizes phonics and basic arithmetic. However, recent publications stress a balanced literacy approach. For the</w:t>
      </w:r>
      <w:r>
        <w:t xml:space="preserve"> </w:t>
      </w:r>
      <w:r>
        <w:rPr>
          <w:bCs/>
          <w:b/>
        </w:rPr>
        <w:t xml:space="preserve">Teacher Primary</w:t>
      </w:r>
      <w:r>
        <w:t xml:space="preserve">, this means integrating reading for pleasure with structured decoding skills. In the context of</w:t>
      </w:r>
      <w:r>
        <w:t xml:space="preserve"> </w:t>
      </w:r>
      <w:r>
        <w:rPr>
          <w:bCs/>
          <w:b/>
        </w:rPr>
        <w:t xml:space="preserve">Canada Toronto</w:t>
      </w:r>
      <w:r>
        <w:t xml:space="preserve">, where multilingualism is common, teachers are encouraged to leverage students' home languages as assets rather than deficits. Strategies such as translanguaging are discussed extensively in modern texts, allowing children to bridge their native linguistic understanding with English academic vocabulary.</w:t>
      </w:r>
    </w:p>
    <w:bookmarkEnd w:id="22"/>
    <w:bookmarkStart w:id="23" w:name="b.-social-emotional-learning-sel"/>
    <w:p>
      <w:pPr>
        <w:pStyle w:val="Heading4"/>
      </w:pPr>
      <w:r>
        <w:t xml:space="preserve">B. Social-Emotional Learning (SEL)</w:t>
      </w:r>
    </w:p>
    <w:p>
      <w:pPr>
        <w:pStyle w:val="FirstParagraph"/>
      </w:pPr>
      <w:r>
        <w:t xml:space="preserve">Post-pandemic educational recovery has placed unprecedented emphasis on SEL. Literature indicates that the</w:t>
      </w:r>
      <w:r>
        <w:t xml:space="preserve"> </w:t>
      </w:r>
      <w:r>
        <w:rPr>
          <w:bCs/>
          <w:b/>
        </w:rPr>
        <w:t xml:space="preserve">Teacher Primary</w:t>
      </w:r>
      <w:r>
        <w:t xml:space="preserve"> </w:t>
      </w:r>
      <w:r>
        <w:t xml:space="preserve">must act as a facilitator of emotional regulation and interpersonal skills. In the diverse setting of</w:t>
      </w:r>
      <w:r>
        <w:t xml:space="preserve"> </w:t>
      </w:r>
      <w:r>
        <w:rPr>
          <w:bCs/>
          <w:b/>
        </w:rPr>
        <w:t xml:space="preserve">Canada Toronto</w:t>
      </w:r>
      <w:r>
        <w:t xml:space="preserve">, SEL also encompasses intercultural competence. Teachers are expected to create classroom environments where differences are celebrated, and conflict resolution is taught proactively. This aligns with provincial curriculum goals that prioritize "citizenship" and "personal responsibility" from an early age.</w:t>
      </w:r>
    </w:p>
    <w:bookmarkEnd w:id="23"/>
    <w:bookmarkStart w:id="24" w:name="c.-digital-literacy-and-innovation"/>
    <w:p>
      <w:pPr>
        <w:pStyle w:val="Heading4"/>
      </w:pPr>
      <w:r>
        <w:t xml:space="preserve">C. Digital Literacy and Innovation</w:t>
      </w:r>
    </w:p>
    <w:p>
      <w:pPr>
        <w:pStyle w:val="FirstParagraph"/>
      </w:pPr>
      <w:r>
        <w:t xml:space="preserve">The integration of technology in primary classrooms has evolved from mere usage to critical evaluation. The</w:t>
      </w:r>
      <w:r>
        <w:t xml:space="preserve"> </w:t>
      </w:r>
      <w:r>
        <w:rPr>
          <w:bCs/>
          <w:b/>
        </w:rPr>
        <w:t xml:space="preserve">Teacher Primary</w:t>
      </w:r>
      <w:r>
        <w:t xml:space="preserve"> </w:t>
      </w:r>
      <w:r>
        <w:t xml:space="preserve">is no longer just a dispenser of knowledge but a guide in navigating digital information. Texts reviewed for this report highlight the importance of age-appropriate screen time, coding logic through play, and using digital tools to collaborate with parents and community members in</w:t>
      </w:r>
      <w:r>
        <w:t xml:space="preserve"> </w:t>
      </w:r>
      <w:r>
        <w:rPr>
          <w:bCs/>
          <w:b/>
        </w:rPr>
        <w:t xml:space="preserve">Canada Toronto</w:t>
      </w:r>
      <w:r>
        <w:t xml:space="preserve">. Professional development resources specifically designed for this demographic focus on using tablets and interactive whiteboards to differentiate instruction.</w:t>
      </w:r>
    </w:p>
    <w:bookmarkEnd w:id="24"/>
    <w:bookmarkEnd w:id="25"/>
    <w:bookmarkStart w:id="26" w:name="X3c2b7ad5fe915a265fdcc95c36f77871196d42a"/>
    <w:p>
      <w:pPr>
        <w:pStyle w:val="Heading3"/>
      </w:pPr>
      <w:r>
        <w:t xml:space="preserve">4. Challenges Addressed in Contemporary Literature</w:t>
      </w:r>
    </w:p>
    <w:p>
      <w:pPr>
        <w:pStyle w:val="FirstParagraph"/>
      </w:pPr>
      <w:r>
        <w:t xml:space="preserve">The reviewed materials do not shy away from the difficulties inherent in the profession. Key challenges identified include:</w:t>
      </w:r>
    </w:p>
    <w:p>
      <w:pPr>
        <w:numPr>
          <w:ilvl w:val="0"/>
          <w:numId w:val="1001"/>
        </w:numPr>
        <w:pStyle w:val="Compact"/>
      </w:pPr>
      <w:r>
        <w:rPr>
          <w:bCs/>
          <w:b/>
        </w:rPr>
        <w:t xml:space="preserve">Balancing Standardization with Creativity:</w:t>
      </w:r>
      <w:r>
        <w:t xml:space="preserve"> </w:t>
      </w:r>
      <w:r>
        <w:t xml:space="preserve">Teachers must meet strict provincial curriculum expectations while maintaining a creative, child-centered classroom atmosphere.</w:t>
      </w:r>
    </w:p>
    <w:p>
      <w:pPr>
        <w:numPr>
          <w:ilvl w:val="0"/>
          <w:numId w:val="1001"/>
        </w:numPr>
        <w:pStyle w:val="Compact"/>
      </w:pPr>
      <w:r>
        <w:rPr>
          <w:bCs/>
          <w:b/>
        </w:rPr>
        <w:t xml:space="preserve">Cultural Responsiveness:</w:t>
      </w:r>
      <w:r>
        <w:t xml:space="preserve"> </w:t>
      </w:r>
      <w:r>
        <w:t xml:space="preserve">In</w:t>
      </w:r>
      <w:r>
        <w:t xml:space="preserve"> </w:t>
      </w:r>
      <w:r>
        <w:rPr>
          <w:bCs/>
          <w:b/>
        </w:rPr>
        <w:t xml:space="preserve">Canada Toronto</w:t>
      </w:r>
      <w:r>
        <w:t xml:space="preserve">, avoiding bias and ensuring representation in all learning materials is a continuous professional challenge. Literature suggests regular self-reflection and community engagement as key strategies.</w:t>
      </w:r>
    </w:p>
    <w:p>
      <w:pPr>
        <w:numPr>
          <w:ilvl w:val="0"/>
          <w:numId w:val="1001"/>
        </w:numPr>
        <w:pStyle w:val="Compact"/>
      </w:pPr>
      <w:r>
        <w:rPr>
          <w:bCs/>
          <w:b/>
        </w:rPr>
        <w:t xml:space="preserve">Burnout and Well-being:</w:t>
      </w:r>
      <w:r>
        <w:t xml:space="preserve"> </w:t>
      </w:r>
      <w:r>
        <w:t xml:space="preserve">The emotional labor of being a</w:t>
      </w:r>
      <w:r>
        <w:t xml:space="preserve"> </w:t>
      </w:r>
      <w:r>
        <w:rPr>
          <w:bCs/>
          <w:b/>
        </w:rPr>
        <w:t xml:space="preserve">Teacher Primary</w:t>
      </w:r>
      <w:r>
        <w:t xml:space="preserve"> </w:t>
      </w:r>
      <w:r>
        <w:t xml:space="preserve">is significant. Recent publications advocate for systemic support, including access to mental health resources and manageable workloads.</w:t>
      </w:r>
    </w:p>
    <w:bookmarkEnd w:id="26"/>
    <w:bookmarkStart w:id="27" w:name="conclusion-and-recommendations"/>
    <w:p>
      <w:pPr>
        <w:pStyle w:val="Heading3"/>
      </w:pPr>
      <w:r>
        <w:t xml:space="preserve">5. Conclusion and Recommendations</w:t>
      </w:r>
    </w:p>
    <w:p>
      <w:pPr>
        <w:pStyle w:val="FirstParagraph"/>
      </w:pPr>
      <w:r>
        <w:t xml:space="preserve">In conclusion, the educational ecosystem of</w:t>
      </w:r>
      <w:r>
        <w:t xml:space="preserve"> </w:t>
      </w:r>
      <w:r>
        <w:rPr>
          <w:bCs/>
          <w:b/>
        </w:rPr>
        <w:t xml:space="preserve">Canada Toronto</w:t>
      </w:r>
      <w:r>
        <w:t xml:space="preserve"> </w:t>
      </w:r>
      <w:r>
        <w:t xml:space="preserve">demands a highly adaptable, empathetic, and technically proficient educator. The</w:t>
      </w:r>
      <w:r>
        <w:t xml:space="preserve"> </w:t>
      </w:r>
      <w:r>
        <w:rPr>
          <w:bCs/>
          <w:b/>
        </w:rPr>
        <w:t xml:space="preserve">Teacher Primary</w:t>
      </w:r>
      <w:r>
        <w:t xml:space="preserve">, as defined by current pedagogical literature, is a multifaceted professional who balances academic rigor with social support. To thrive in this environment, educators must commit to lifelong learning that embraces diversity and technological integration.</w:t>
      </w:r>
    </w:p>
    <w:p>
      <w:pPr>
        <w:pStyle w:val="BodyText"/>
      </w:pPr>
      <w:r>
        <w:t xml:space="preserve">This Book Report recommends that school boards in</w:t>
      </w:r>
      <w:r>
        <w:t xml:space="preserve"> </w:t>
      </w:r>
      <w:r>
        <w:rPr>
          <w:bCs/>
          <w:b/>
        </w:rPr>
        <w:t xml:space="preserve">Canada Toronto</w:t>
      </w:r>
      <w:r>
        <w:t xml:space="preserve"> </w:t>
      </w:r>
      <w:r>
        <w:t xml:space="preserve">continue to fund professional development workshops focused on inclusive practices and SEL. Furthermore, new teachers should be mentored by experienced colleagues who model the nuanced balance required in this dynamic urban setting. By aligning teaching practices with the specific cultural and administrative realities of</w:t>
      </w:r>
      <w:r>
        <w:t xml:space="preserve"> </w:t>
      </w:r>
      <w:r>
        <w:rPr>
          <w:bCs/>
          <w:b/>
        </w:rPr>
        <w:t xml:space="preserve">Canada Toronto</w:t>
      </w:r>
      <w:r>
        <w:t xml:space="preserve">, we ensure that every child receives an equitable and high-quality primary education.</w:t>
      </w:r>
    </w:p>
    <w:p>
      <w:pPr>
        <w:pStyle w:val="BodyText"/>
      </w:pPr>
      <w:r>
        <w:rPr>
          <w:iCs/>
          <w:i/>
        </w:rPr>
        <w:t xml:space="preserve">Report Compiled by: Educational Analysis Team</w:t>
      </w:r>
    </w:p>
    <w:p>
      <w:pPr>
        <w:pStyle w:val="BodyText"/>
      </w:pPr>
      <w:r>
        <w:rPr>
          <w:iCs/>
          <w:i/>
        </w:rPr>
        <w:t xml:space="preserve">Institution: Institute for Primary Education Studies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Primary Teacher in Canada Toronto</dc:title>
  <dc:creator/>
  <dc:language>en</dc:language>
  <cp:keywords/>
  <dcterms:created xsi:type="dcterms:W3CDTF">2026-07-29T09:54:11Z</dcterms:created>
  <dcterms:modified xsi:type="dcterms:W3CDTF">2026-07-29T09:54:11Z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