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A</w:t>
      </w:r>
      <w:r>
        <w:t xml:space="preserve"> </w:t>
      </w:r>
      <w:r>
        <w:t xml:space="preserve">Comprehensive</w:t>
      </w:r>
      <w:r>
        <w:t xml:space="preserve"> </w:t>
      </w:r>
      <w:r>
        <w:t xml:space="preserve">Guide</w:t>
      </w:r>
      <w:r>
        <w:t xml:space="preserve"> </w:t>
      </w:r>
      <w:r>
        <w:t xml:space="preserve">for</w:t>
      </w:r>
      <w:r>
        <w:t xml:space="preserve"> </w:t>
      </w:r>
      <w:r>
        <w:t xml:space="preserve">Lima,</w:t>
      </w:r>
      <w:r>
        <w:t xml:space="preserve"> </w:t>
      </w:r>
      <w:r>
        <w:t xml:space="preserve">Peru</w:t>
      </w:r>
    </w:p>
    <w:bookmarkStart w:id="30" w:name="X4d3740dde6876bd79655aef11b346df3addd06a"/>
    <w:p>
      <w:pPr>
        <w:pStyle w:val="Heading1"/>
      </w:pPr>
      <w:r>
        <w:t xml:space="preserve">Book Report on "Teacher Primary": Contextualizing Pedagogy for Lima, Peru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Curriculum Developers</w:t>
      </w:r>
      <w:r>
        <w:br/>
      </w:r>
      <w:r>
        <w:rPr>
          <w:bCs/>
          <w:b/>
        </w:rPr>
        <w:t xml:space="preserve">From:</w:t>
      </w:r>
      <w:r>
        <w:t xml:space="preserve"> </w:t>
      </w:r>
      <w:r>
        <w:t xml:space="preserve">Senior Educational Analyst</w:t>
      </w:r>
      <w:r>
        <w:br/>
      </w:r>
      <w:r>
        <w:rPr>
          <w:bCs/>
          <w:b/>
        </w:rPr>
        <w:t xml:space="preserve">Subject:</w:t>
      </w:r>
      <w:r>
        <w:t xml:space="preserve">A Critical Review of the "Teacher Primary" Framework with Specific Application to Lima, Peru</w:t>
      </w:r>
    </w:p>
    <w:bookmarkStart w:id="20" w:name="section"/>
    <w:p>
      <w:pPr>
        <w:pStyle w:val="Heading2"/>
      </w:pPr>
    </w:p>
    <w:p>
      <w:pPr>
        <w:pStyle w:val="FirstParagraph"/>
      </w:pPr>
      <w:r>
        <w:t xml:space="preserve">The document titled</w:t>
      </w:r>
      <w:r>
        <w:t xml:space="preserve"> </w:t>
      </w:r>
      <w:r>
        <w:rPr>
          <w:iCs/>
          <w:i/>
        </w:rPr>
        <w:t xml:space="preserve">"Teacher Primary"</w:t>
      </w:r>
      <w:r>
        <w:t xml:space="preserve">serves as a foundational pillar in modern educational discourse, particularly within Latin American contexts. This report provides an extensive analysis of the core tenets presented in this guide, focusing specifically on its applicability and adaptation for the complex socio-educational landscape of</w:t>
      </w:r>
      <w:r>
        <w:t xml:space="preserve"> </w:t>
      </w:r>
      <w:r>
        <w:rPr>
          <w:bCs/>
          <w:b/>
        </w:rPr>
        <w:t xml:space="preserve">Lima, Peru</w:t>
      </w:r>
      <w:r>
        <w:t xml:space="preserve">. As one of the largest metropolitan areas in South America Lima presents unique challenges regarding infrastructure diversity, cultural plurality, and resource distribution. The "Teacher Primary" framework offers robust strategies that must be carefully interpreted to meet these local needs. This report argues that while the general principles are sound their implementation in</w:t>
      </w:r>
      <w:r>
        <w:t xml:space="preserve"> </w:t>
      </w:r>
      <w:r>
        <w:rPr>
          <w:bCs/>
          <w:b/>
        </w:rPr>
        <w:t xml:space="preserve">Peru Lima</w:t>
      </w:r>
      <w:r>
        <w:t xml:space="preserve"> </w:t>
      </w:r>
      <w:r>
        <w:t xml:space="preserve">requires a nuanced approach that respects local cultural identities and addresses systemic inequities.</w:t>
      </w:r>
    </w:p>
    <w:bookmarkEnd w:id="20"/>
    <w:bookmarkStart w:id="21" w:name="section-1"/>
    <w:p>
      <w:pPr>
        <w:pStyle w:val="Heading2"/>
      </w:pPr>
    </w:p>
    <w:p>
      <w:pPr>
        <w:pStyle w:val="FirstParagraph"/>
      </w:pPr>
      <w:r>
        <w:t xml:space="preserve">The</w:t>
      </w:r>
      <w:r>
        <w:t xml:space="preserve"> </w:t>
      </w:r>
      <w:r>
        <w:rPr>
          <w:iCs/>
          <w:i/>
        </w:rPr>
        <w:t xml:space="preserve">"Teacher Primary"</w:t>
      </w:r>
      <w:r>
        <w:t xml:space="preserve"> </w:t>
      </w:r>
      <w:r>
        <w:t xml:space="preserve">document is structured around several key pedagogical pillars. Firstly, it emphasizes learner-centered methodologies, moving away from traditional rote memorization toward active construction of knowledge. Secondly, it highlights the critical role of formative assessment in driving instructional decisions. Thirdly it stresses the importance of emotional intelligence and social-emotional learning (SEL) as prerequisites for academic success.</w:t>
      </w:r>
    </w:p>
    <w:p>
      <w:pPr>
        <w:pStyle w:val="BodyText"/>
      </w:pPr>
      <w:r>
        <w:t xml:space="preserve">Central to this framework is the concept that a teacher is not merely a transmitter of information but a facilitator, mentor, and community builder. The text advocates for differentiated instruction recognizing that classrooms are heterogeneous spaces where students possess varying levels of prior knowledge learning styles and emotional readiness. These universal principles provide a strong theoretical base however their practical application must be scrutinized through the lens of local reality.</w:t>
      </w:r>
    </w:p>
    <w:bookmarkEnd w:id="21"/>
    <w:bookmarkStart w:id="22" w:name="section-2"/>
    <w:p>
      <w:pPr>
        <w:pStyle w:val="Heading2"/>
      </w:pPr>
    </w:p>
    <w:p>
      <w:pPr>
        <w:pStyle w:val="FirstParagraph"/>
      </w:pPr>
      <w:r>
        <w:t xml:space="preserve">To fully appreciate the utility of the</w:t>
      </w:r>
      <w:r>
        <w:t xml:space="preserve"> </w:t>
      </w:r>
      <w:r>
        <w:rPr>
          <w:iCs/>
          <w:i/>
        </w:rPr>
        <w:t xml:space="preserve">"Teacher Primary"</w:t>
      </w:r>
      <w:r>
        <w:t xml:space="preserve"> </w:t>
      </w:r>
      <w:r>
        <w:t xml:space="preserve">guide one must first understand the specific context of</w:t>
      </w:r>
      <w:r>
        <w:t xml:space="preserve"> </w:t>
      </w:r>
      <w:r>
        <w:rPr>
          <w:bCs/>
          <w:b/>
        </w:rPr>
        <w:t xml:space="preserve">Lima, Peru</w:t>
      </w:r>
      <w:r>
        <w:t xml:space="preserve">. Lima is a city of contrasts. On one hand it boasts prestigious private institutions with state-of-the-art facilities and abundant resources. On the other hand vast sectors such as informal settlements in districts like Villa El Salvador or San Juan de Lurigancho face significant challenges including overcrowded classrooms limited technological access and socio-economic instability.</w:t>
      </w:r>
    </w:p>
    <w:p>
      <w:pPr>
        <w:pStyle w:val="BodyText"/>
      </w:pPr>
      <w:r>
        <w:t xml:space="preserve">Furthermore</w:t>
      </w:r>
      <w:r>
        <w:t xml:space="preserve"> </w:t>
      </w:r>
      <w:r>
        <w:rPr>
          <w:bCs/>
          <w:b/>
        </w:rPr>
        <w:t xml:space="preserve">Lima</w:t>
      </w:r>
      <w:r>
        <w:t xml:space="preserve"> </w:t>
      </w:r>
      <w:r>
        <w:t xml:space="preserve">is a melting pot of cultures. While Spanish is the dominant language indigenous languages such as Quechua and Aymara are still spoken by segments of the population particularly among migrants from the Andean and Amazonian regions. The</w:t>
      </w:r>
      <w:r>
        <w:t xml:space="preserve"> </w:t>
      </w:r>
      <w:r>
        <w:rPr>
          <w:iCs/>
          <w:i/>
        </w:rPr>
        <w:t xml:space="preserve">"Teacher Primary"</w:t>
      </w:r>
      <w:r>
        <w:t xml:space="preserve"> </w:t>
      </w:r>
      <w:r>
        <w:t xml:space="preserve">framework must therefore address issues of linguistic diversity and cultural relevance. A one-size-fits-all approach derived from Northern hemisphere educational models is insufficient for this context.</w:t>
      </w:r>
    </w:p>
    <w:bookmarkEnd w:id="22"/>
    <w:bookmarkStart w:id="26" w:name="section-3"/>
    <w:p>
      <w:pPr>
        <w:pStyle w:val="Heading2"/>
      </w:pPr>
    </w:p>
    <w:bookmarkStart w:id="23" w:name="section-4"/>
    <w:p>
      <w:pPr>
        <w:pStyle w:val="Heading3"/>
      </w:pPr>
    </w:p>
    <w:p>
      <w:pPr>
        <w:pStyle w:val="FirstParagraph"/>
      </w:pPr>
      <w:r>
        <w:t xml:space="preserve">The</w:t>
      </w:r>
      <w:r>
        <w:t xml:space="preserve"> </w:t>
      </w:r>
      <w:r>
        <w:rPr>
          <w:iCs/>
          <w:i/>
        </w:rPr>
        <w:t xml:space="preserve">"Teacher Primary"</w:t>
      </w:r>
      <w:r>
        <w:t xml:space="preserve"> </w:t>
      </w:r>
      <w:r>
        <w:t xml:space="preserve">document suggests creating inclusive environments. In</w:t>
      </w:r>
      <w:r>
        <w:t xml:space="preserve"> </w:t>
      </w:r>
      <w:r>
        <w:rPr>
          <w:bCs/>
          <w:b/>
        </w:rPr>
        <w:t xml:space="preserve">Lima Peru</w:t>
      </w:r>
      <w:r>
        <w:t xml:space="preserve"> </w:t>
      </w:r>
      <w:r>
        <w:t xml:space="preserve">this translates to validating the cultural capital of students from diverse backgrounds. Teachers should integrate local history folklore and community knowledge into the curriculum. For instance a mathematics lesson on geometry could incorporate patterns found in traditional Peruvian textiles or architectural designs from Cusco thereby making abstract concepts tangible and relevant.</w:t>
      </w:r>
    </w:p>
    <w:bookmarkEnd w:id="23"/>
    <w:bookmarkStart w:id="24" w:name="section-5"/>
    <w:p>
      <w:pPr>
        <w:pStyle w:val="Heading3"/>
      </w:pPr>
    </w:p>
    <w:p>
      <w:pPr>
        <w:pStyle w:val="FirstParagraph"/>
      </w:pPr>
      <w:r>
        <w:t xml:space="preserve">A significant challenge in many schools across</w:t>
      </w:r>
      <w:r>
        <w:t xml:space="preserve"> </w:t>
      </w:r>
      <w:r>
        <w:rPr>
          <w:bCs/>
          <w:b/>
        </w:rPr>
        <w:t xml:space="preserve">Lima</w:t>
      </w:r>
      <w:r>
        <w:t xml:space="preserve"> </w:t>
      </w:r>
      <w:r>
        <w:t xml:space="preserve">is the lack of digital resources. The</w:t>
      </w:r>
      <w:r>
        <w:t xml:space="preserve"> </w:t>
      </w:r>
      <w:r>
        <w:rPr>
          <w:iCs/>
          <w:i/>
        </w:rPr>
        <w:t xml:space="preserve">"Teacher Primary"</w:t>
      </w:r>
      <w:r>
        <w:t xml:space="preserve"> </w:t>
      </w:r>
      <w:r>
        <w:t xml:space="preserve">guide often assumes access to technology for flipped classrooms or digital assessments. Educators must adapt these strategies by utilizing low-tech or no-tech alternatives that still promote active learning. This might involve collaborative group work using physical manipulatives or community-based projects that require interaction with local stakeholders rather than computer screens.</w:t>
      </w:r>
    </w:p>
    <w:bookmarkEnd w:id="24"/>
    <w:bookmarkStart w:id="25" w:name="section-6"/>
    <w:p>
      <w:pPr>
        <w:pStyle w:val="Heading3"/>
      </w:pPr>
    </w:p>
    <w:p>
      <w:pPr>
        <w:pStyle w:val="FirstParagraph"/>
      </w:pPr>
      <w:r>
        <w:t xml:space="preserve">Many students in</w:t>
      </w:r>
      <w:r>
        <w:t xml:space="preserve"> </w:t>
      </w:r>
      <w:r>
        <w:rPr>
          <w:bCs/>
          <w:b/>
        </w:rPr>
        <w:t xml:space="preserve">Lima Peru</w:t>
      </w:r>
      <w:r>
        <w:t xml:space="preserve"> </w:t>
      </w:r>
      <w:r>
        <w:t xml:space="preserve">face stressors related to family instability economic pressure and urban violence. The</w:t>
      </w:r>
      <w:r>
        <w:t xml:space="preserve"> </w:t>
      </w:r>
      <w:r>
        <w:rPr>
          <w:iCs/>
          <w:i/>
        </w:rPr>
        <w:t xml:space="preserve">"Teacher Primary"</w:t>
      </w:r>
      <w:r>
        <w:t xml:space="preserve"> </w:t>
      </w:r>
      <w:r>
        <w:t xml:space="preserve">emphasis on social-emotional learning is thus critically important but requires adaptation. Schools may need to serve as safe havens providing not just academic support but also basic counseling and nutritional assistance where possible. Teachers trained under the</w:t>
      </w:r>
      <w:r>
        <w:t xml:space="preserve"> </w:t>
      </w:r>
      <w:r>
        <w:rPr>
          <w:iCs/>
          <w:i/>
        </w:rPr>
        <w:t xml:space="preserve">"Teacher Primary"</w:t>
      </w:r>
      <w:r>
        <w:t xml:space="preserve"> </w:t>
      </w:r>
      <w:r>
        <w:t xml:space="preserve">paradigm must be equipped with conflict resolution skills and trauma-informed care practices.</w:t>
      </w:r>
    </w:p>
    <w:bookmarkEnd w:id="25"/>
    <w:bookmarkEnd w:id="26"/>
    <w:bookmarkStart w:id="27" w:name="section-7"/>
    <w:p>
      <w:pPr>
        <w:pStyle w:val="Heading2"/>
      </w:pPr>
    </w:p>
    <w:p>
      <w:pPr>
        <w:pStyle w:val="FirstParagraph"/>
      </w:pPr>
      <w:r>
        <w:t xml:space="preserve">Despite the clear benefits outlined in the</w:t>
      </w:r>
      <w:r>
        <w:t xml:space="preserve"> </w:t>
      </w:r>
      <w:r>
        <w:rPr>
          <w:iCs/>
          <w:i/>
        </w:rPr>
        <w:t xml:space="preserve">"Teacher Primary"</w:t>
      </w:r>
      <w:r>
        <w:t xml:space="preserve"> </w:t>
      </w:r>
      <w:r>
        <w:t xml:space="preserve">document several barriers exist for successful implementation in</w:t>
      </w:r>
      <w:r>
        <w:t xml:space="preserve"> </w:t>
      </w:r>
      <w:r>
        <w:rPr>
          <w:bCs/>
          <w:b/>
        </w:rPr>
        <w:t xml:space="preserve">Lima Peru</w:t>
      </w:r>
      <w:r>
        <w:t xml:space="preserve">.</w:t>
      </w:r>
    </w:p>
    <w:p>
      <w:pPr>
        <w:numPr>
          <w:ilvl w:val="0"/>
          <w:numId w:val="1001"/>
        </w:numPr>
        <w:pStyle w:val="Compact"/>
      </w:pPr>
      <w:r>
        <w:rPr>
          <w:bCs/>
          <w:b/>
        </w:rPr>
        <w:t xml:space="preserve">Large Class Sizes:</w:t>
      </w:r>
      <w:r>
        <w:t xml:space="preserve"> </w:t>
      </w:r>
      <w:r>
        <w:t xml:space="preserve">Public schools often have 35-40 students per class making individualized attention difficult. Strategies must focus on peer-learning and cooperative groups.</w:t>
      </w:r>
    </w:p>
    <w:p>
      <w:pPr>
        <w:numPr>
          <w:ilvl w:val="0"/>
          <w:numId w:val="1001"/>
        </w:numPr>
        <w:pStyle w:val="Compact"/>
      </w:pPr>
      <w:r>
        <w:t xml:space="preserve">Inadequate Training:This is a critical aspect of the "Teacher Primary" concept. In many cases teachers in Lima receive limited ongoing professional development. Without adequate training in these new methodologies the framework risks becoming superficial.</w:t>
      </w:r>
    </w:p>
    <w:p>
      <w:pPr>
        <w:numPr>
          <w:ilvl w:val="0"/>
          <w:numId w:val="1001"/>
        </w:numPr>
        <w:pStyle w:val="Compact"/>
      </w:pPr>
      <w:r>
        <w:t xml:space="preserve">Systemic Bureaucracy: The rigid structure of the national curriculum can sometimes conflict with the flexible approach advocated by "Teacher Primary."</w:t>
      </w:r>
    </w:p>
    <w:bookmarkEnd w:id="27"/>
    <w:bookmarkStart w:id="28" w:name="section-8"/>
    <w:p>
      <w:pPr>
        <w:pStyle w:val="Heading2"/>
      </w:pPr>
    </w:p>
    <w:p>
      <w:pPr>
        <w:pStyle w:val="FirstParagraph"/>
      </w:pPr>
      <w:r>
        <w:t xml:space="preserve">Based on this analysis several recommendations are proposed to enhance the efficacy of</w:t>
      </w:r>
      <w:r>
        <w:t xml:space="preserve"> </w:t>
      </w:r>
      <w:r>
        <w:rPr>
          <w:iCs/>
          <w:i/>
        </w:rPr>
        <w:t xml:space="preserve">"Teacher Primary"</w:t>
      </w:r>
      <w:r>
        <w:t xml:space="preserve"> </w:t>
      </w:r>
      <w:r>
        <w:t xml:space="preserve">in</w:t>
      </w:r>
      <w:r>
        <w:t xml:space="preserve"> </w:t>
      </w:r>
      <w:r>
        <w:rPr>
          <w:bCs/>
          <w:b/>
        </w:rPr>
        <w:t xml:space="preserve">Lima Peru</w:t>
      </w:r>
      <w:r>
        <w:t xml:space="preserve">:</w:t>
      </w:r>
    </w:p>
    <w:p>
      <w:pPr>
        <w:numPr>
          <w:ilvl w:val="0"/>
          <w:numId w:val="1002"/>
        </w:numPr>
        <w:pStyle w:val="Compact"/>
      </w:pPr>
      <w:r>
        <w:t xml:space="preserve">Pilot Programs: Initiate pilot programs in diverse districts (urban private urban public rural-adjacent) to test adaptations.</w:t>
      </w:r>
    </w:p>
    <w:p>
      <w:pPr>
        <w:numPr>
          <w:ilvl w:val="0"/>
          <w:numId w:val="1002"/>
        </w:numPr>
        <w:pStyle w:val="Compact"/>
      </w:pPr>
      <w:r>
        <w:t xml:space="preserve">Professional Development: Invest heavily in continuous training that focuses on contextualization not just theoretical understanding.</w:t>
      </w:r>
    </w:p>
    <w:p>
      <w:pPr>
        <w:numPr>
          <w:ilvl w:val="0"/>
          <w:numId w:val="1002"/>
        </w:numPr>
        <w:pStyle w:val="Compact"/>
      </w:pPr>
      <w:r>
        <w:t xml:space="preserve">Community Engagement: Involve parents and local leaders in the educational process to build a support network around schools.</w:t>
      </w:r>
    </w:p>
    <w:p>
      <w:pPr>
        <w:numPr>
          <w:ilvl w:val="0"/>
          <w:numId w:val="1002"/>
        </w:numPr>
        <w:pStyle w:val="Compact"/>
      </w:pPr>
      <w:r>
        <w:t xml:space="preserve">Cultural Materials: Develop supplementary teaching materials that reflect Peruvian culture and history to complement international frameworks.</w:t>
      </w:r>
    </w:p>
    <w:bookmarkEnd w:id="28"/>
    <w:bookmarkStart w:id="29" w:name="section-9"/>
    <w:p>
      <w:pPr>
        <w:pStyle w:val="Heading2"/>
      </w:pPr>
    </w:p>
    <w:p>
      <w:pPr>
        <w:pStyle w:val="FirstParagraph"/>
      </w:pPr>
      <w:r>
        <w:t xml:space="preserve">The</w:t>
      </w:r>
      <w:r>
        <w:t xml:space="preserve"> </w:t>
      </w:r>
      <w:r>
        <w:rPr>
          <w:iCs/>
          <w:i/>
        </w:rPr>
        <w:t xml:space="preserve">"Teacher Primary"</w:t>
      </w:r>
      <w:r>
        <w:t xml:space="preserve"> </w:t>
      </w:r>
      <w:r>
        <w:t xml:space="preserve">document provides a valuable roadmap for enhancing primary education through progressive pedagogical practices. However its success in</w:t>
      </w:r>
      <w:r>
        <w:t xml:space="preserve"> </w:t>
      </w:r>
      <w:r>
        <w:rPr>
          <w:bCs/>
          <w:b/>
        </w:rPr>
        <w:t xml:space="preserve">Lima Peru</w:t>
      </w:r>
      <w:r>
        <w:t xml:space="preserve"> </w:t>
      </w:r>
      <w:r>
        <w:t xml:space="preserve">depends entirely on contextual adaptation. It is not enough to merely import these ideas; they must be woven into the fabric of local reality. By embracing cultural diversity optimizing limited resources and addressing socio-emotional needs educators in Lima can transform these principles into powerful tools for social mobility and educational equity.</w:t>
      </w:r>
    </w:p>
    <w:p>
      <w:pPr>
        <w:pStyle w:val="BodyText"/>
      </w:pPr>
      <w:r>
        <w:t xml:space="preserve">Lima regardless of their socioeconomic status has access to high-quality education that respects their identity and nurtures their potential. The</w:t>
      </w:r>
      <w:r>
        <w:t xml:space="preserve"> </w:t>
      </w:r>
      <w:r>
        <w:rPr>
          <w:iCs/>
          <w:i/>
        </w:rPr>
        <w:t xml:space="preserve">"Teacher Primary"</w:t>
      </w:r>
      <w:r>
        <w:t xml:space="preserve"> </w:t>
      </w:r>
      <w:r>
        <w:t xml:space="preserve">framework offers the methods but the local context provides the meaning. It is through this synthesis of global best practices and local wisdom that true educational transformation in Lima can be achieved.</w:t>
      </w:r>
    </w:p>
    <w:p>
      <w:pPr>
        <w:pStyle w:val="BodyText"/>
      </w:pPr>
      <w:r>
        <w:t xml:space="preserve">© 2023 Educational Analysis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 A Comprehensive Guide for Lima, Peru</dc:title>
  <dc:creator/>
  <dc:language>en</dc:language>
  <cp:keywords/>
  <dcterms:created xsi:type="dcterms:W3CDTF">2026-07-30T05:28:40Z</dcterms:created>
  <dcterms:modified xsi:type="dcterms:W3CDTF">2026-07-30T05:28:40Z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