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Sydney</w:t>
      </w:r>
      <w:r>
        <w:t xml:space="preserve"> </w:t>
      </w:r>
      <w:r>
        <w:t xml:space="preserve">Context</w:t>
      </w:r>
    </w:p>
    <w:bookmarkStart w:id="20" w:name="Xc2c750b3f3dfa256a09d1982d54cc7ee8031afe"/>
    <w:p>
      <w:pPr>
        <w:pStyle w:val="Heading1"/>
      </w:pPr>
      <w:r>
        <w:rPr>
          <w:bCs/>
          <w:b/>
        </w:rPr>
        <w:t xml:space="preserve">Book Report</w:t>
      </w:r>
      <w:r>
        <w:t xml:space="preserve">: Teacher Secondary in the Australian Context</w:t>
      </w:r>
    </w:p>
    <w:p>
      <w:pPr>
        <w:pStyle w:val="FirstParagraph"/>
      </w:pPr>
      <w:r>
        <w:rPr>
          <w:bCs/>
          <w:b/>
        </w:rPr>
        <w:t xml:space="preserve">Title:</w:t>
      </w:r>
      <w:r>
        <w:t xml:space="preserve">The Professional Practice of Secondary Teaching: Navigating the Sydney Landscape</w:t>
      </w:r>
    </w:p>
    <w:p>
      <w:pPr>
        <w:pStyle w:val="BodyText"/>
      </w:pPr>
      <w:r>
        <w:br/>
      </w:r>
    </w:p>
    <w:p>
      <w:pPr>
        <w:pStyle w:val="BodyText"/>
      </w:pPr>
      <w:r>
        <w:rPr>
          <w:bCs/>
          <w:b/>
        </w:rPr>
        <w:t xml:space="preserve">Date:</w:t>
      </w:r>
      <w:r>
        <w:t xml:space="preserve"> </w:t>
      </w:r>
      <w:r>
        <w:t xml:space="preserve">October 26, 2023</w:t>
      </w:r>
    </w:p>
    <w:p>
      <w:pPr>
        <w:pStyle w:val="BodyText"/>
      </w:pPr>
      <w:r>
        <w:rPr>
          <w:bCs/>
          <w:b/>
        </w:rPr>
        <w:t xml:space="preserve">Location:</w:t>
      </w:r>
      <w:r>
        <w:t xml:space="preserve">Sydney, New South Wales, Australia</w:t>
      </w:r>
    </w:p>
    <w:bookmarkEnd w:id="20"/>
    <w:bookmarkStart w:id="21" w:name="X5882712671b803a8b641c0909220f23af484d22"/>
    <w:p>
      <w:pPr>
        <w:pStyle w:val="Heading2"/>
      </w:pPr>
      <w:r>
        <w:t xml:space="preserve">I. Introduction: The Unique Pedagogy of Sydney</w:t>
      </w:r>
    </w:p>
    <w:p>
      <w:pPr>
        <w:pStyle w:val="FirstParagraph"/>
      </w:pPr>
      <w:r>
        <w:t xml:space="preserve">To understand the role of a</w:t>
      </w:r>
      <w:r>
        <w:t xml:space="preserve"> </w:t>
      </w:r>
      <w:r>
        <w:rPr>
          <w:bCs/>
          <w:b/>
        </w:rPr>
        <w:t xml:space="preserve">Teacher Secondary</w:t>
      </w:r>
      <w:r>
        <w:t xml:space="preserve">, one must first contextualize it within the dynamic and multicultural environment of Sydney, Australia. This report examines the critical responsibilities, challenges, and rewards associated with secondary education specifically within the suburbs and metropolitan centers of</w:t>
      </w:r>
      <w:r>
        <w:t xml:space="preserve"> </w:t>
      </w:r>
      <w:r>
        <w:rPr>
          <w:bCs/>
          <w:b/>
        </w:rPr>
        <w:t xml:space="preserve">Australia Sydney</w:t>
      </w:r>
      <w:r>
        <w:t xml:space="preserve">. The modern secondary classroom in this city is not merely a space for academic instruction; it is a microcosm of global diversity, requiring educators to possess high levels of cultural competence, adaptability, and pedagogical innovation.</w:t>
      </w:r>
      <w:r>
        <w:t xml:space="preserve"> </w:t>
      </w:r>
      <w:r>
        <w:t xml:space="preserve">In</w:t>
      </w:r>
      <w:r>
        <w:t xml:space="preserve"> </w:t>
      </w:r>
      <w:r>
        <w:rPr>
          <w:bCs/>
          <w:b/>
        </w:rPr>
        <w:t xml:space="preserve">Australia Sydney</w:t>
      </w:r>
      <w:r>
        <w:t xml:space="preserve">, the demographic landscape is rapidly shifting. From the diverse suburbs of Parramatta to the coastal communities of Bondi and Manly, schools serve students from a vast array of linguistic and socio-economic backgrounds. Consequently, the definition of what it means to be an effective</w:t>
      </w:r>
      <w:r>
        <w:t xml:space="preserve"> </w:t>
      </w:r>
      <w:r>
        <w:rPr>
          <w:bCs/>
          <w:b/>
        </w:rPr>
        <w:t xml:space="preserve">Teacher Secondary</w:t>
      </w:r>
      <w:r>
        <w:t xml:space="preserve"> </w:t>
      </w:r>
      <w:r>
        <w:t xml:space="preserve">has evolved beyond subject mastery. It now demands a holistic approach that integrates social-emotional learning with rigorous academic standards. This report argues that the contemporary secondary teacher in Sydney is primarily a facilitator of inclusive education, bridging cultural divides while maintaining the high expectations set by the Australian Curriculum.</w:t>
      </w:r>
    </w:p>
    <w:bookmarkEnd w:id="21"/>
    <w:bookmarkStart w:id="22" w:name="X2d2f4f8abd5659b41be9986938744382ddc18d8"/>
    <w:p>
      <w:pPr>
        <w:pStyle w:val="Heading2"/>
      </w:pPr>
      <w:r>
        <w:t xml:space="preserve">II. The Role of Teacher Secondary in an Inclusive Society</w:t>
      </w:r>
    </w:p>
    <w:p>
      <w:pPr>
        <w:pStyle w:val="FirstParagraph"/>
      </w:pPr>
      <w:r>
        <w:t xml:space="preserve">A central theme emerging from current educational literature and practice guidelines for</w:t>
      </w:r>
      <w:r>
        <w:t xml:space="preserve"> </w:t>
      </w:r>
      <w:r>
        <w:rPr>
          <w:bCs/>
          <w:b/>
        </w:rPr>
        <w:t xml:space="preserve">Australia Sydney</w:t>
      </w:r>
      <w:r>
        <w:t xml:space="preserve"> </w:t>
      </w:r>
      <w:r>
        <w:t xml:space="preserve">is inclusion. Secondary schools here are tasked with supporting students with diverse learning needs, including those from Indigenous Australian backgrounds, recent migrants, and students with disabilities. For a</w:t>
      </w:r>
      <w:r>
        <w:t xml:space="preserve"> </w:t>
      </w:r>
      <w:r>
        <w:rPr>
          <w:bCs/>
          <w:b/>
        </w:rPr>
        <w:t xml:space="preserve">Teacher Secondary</w:t>
      </w:r>
      <w:r>
        <w:t xml:space="preserve">, this requires a deep understanding of differentiation strategies. It is no longer sufficient to deliver a standard lecture; the educator must modify content, process, and product to ensure equitable access for all learners.</w:t>
      </w:r>
      <w:r>
        <w:t xml:space="preserve"> </w:t>
      </w:r>
      <w:r>
        <w:t xml:space="preserve">In the context of</w:t>
      </w:r>
      <w:r>
        <w:t xml:space="preserve"> </w:t>
      </w:r>
      <w:r>
        <w:rPr>
          <w:bCs/>
          <w:b/>
        </w:rPr>
        <w:t xml:space="preserve">Australia Sydney</w:t>
      </w:r>
      <w:r>
        <w:t xml:space="preserve">, there is also a specific focus on Reconciliation in Education. Teachers are expected to integrate Aboriginal and Torres Strait Islander histories and cultures into their lesson plans across all subjects. This is not optional but a mandatory component of professional practice in New South Wales schools. A competent</w:t>
      </w:r>
      <w:r>
        <w:t xml:space="preserve"> </w:t>
      </w:r>
      <w:r>
        <w:rPr>
          <w:bCs/>
          <w:b/>
        </w:rPr>
        <w:t xml:space="preserve">Teacher Secondary</w:t>
      </w:r>
      <w:r>
        <w:t xml:space="preserve"> </w:t>
      </w:r>
      <w:r>
        <w:t xml:space="preserve">demonstrates respect for Traditional Owners, acknowledges country appropriately, and ensures that Indigenous perspectives are woven seamlessly into the curriculum rather than treated as an afterthought. This cultural responsiveness fosters a sense of belonging and identity for Aboriginal students while building empathy and awareness among their peers.</w:t>
      </w:r>
      <w:r>
        <w:t xml:space="preserve"> </w:t>
      </w:r>
      <w:r>
        <w:t xml:space="preserve">Furthermore, the socio-economic disparities present in parts of Sydney create significant barriers to learning. Teachers must act as advocates, connecting families with community resources such as youth services, counseling, and financial aid programs. The role extends far beyond the classroom walls; it is about nurturing the whole child within their community context.</w:t>
      </w:r>
    </w:p>
    <w:bookmarkEnd w:id="22"/>
    <w:bookmarkStart w:id="23" w:name="X52424d4149832b391d6123ff2bf9fc31bf2186b"/>
    <w:p>
      <w:pPr>
        <w:pStyle w:val="Heading2"/>
      </w:pPr>
      <w:r>
        <w:t xml:space="preserve">III. Navigating Curriculum and Assessment Standards</w:t>
      </w:r>
    </w:p>
    <w:p>
      <w:pPr>
        <w:pStyle w:val="FirstParagraph"/>
      </w:pPr>
      <w:r>
        <w:t xml:space="preserve">The academic rigour of secondary education in</w:t>
      </w:r>
      <w:r>
        <w:t xml:space="preserve"> </w:t>
      </w:r>
      <w:r>
        <w:rPr>
          <w:bCs/>
          <w:b/>
        </w:rPr>
        <w:t xml:space="preserve">Australia Sydney</w:t>
      </w:r>
      <w:r>
        <w:t xml:space="preserve"> </w:t>
      </w:r>
      <w:r>
        <w:t xml:space="preserve">is governed by the Australian Curriculum, Assessment and Reporting Authority (ACARA) standards, alongside specific directives from the NSW Education Standards Authority (NESA). For a</w:t>
      </w:r>
      <w:r>
        <w:t xml:space="preserve"> </w:t>
      </w:r>
      <w:r>
        <w:rPr>
          <w:bCs/>
          <w:b/>
        </w:rPr>
        <w:t xml:space="preserve">Teacher Secondary</w:t>
      </w:r>
      <w:r>
        <w:t xml:space="preserve">, mastery of these frameworks is essential. However, the application of these standards in Sydney requires flexibility. With a high concentration of students preparing for university entrance via the Australian Tertiary Admission Rank (ATAR), pressure on educators to deliver results can be intense.</w:t>
      </w:r>
      <w:r>
        <w:t xml:space="preserve"> </w:t>
      </w:r>
      <w:r>
        <w:t xml:space="preserve">Nevertheless, modern pedagogical approaches in</w:t>
      </w:r>
      <w:r>
        <w:t xml:space="preserve"> </w:t>
      </w:r>
      <w:r>
        <w:rPr>
          <w:bCs/>
          <w:b/>
        </w:rPr>
        <w:t xml:space="preserve">Australia Sydney</w:t>
      </w:r>
      <w:r>
        <w:t xml:space="preserve"> </w:t>
      </w:r>
      <w:r>
        <w:t xml:space="preserve">emphasize critical thinking and problem-solving over rote memorization. Teachers are encouraged to design inquiry-based learning experiences that engage students with real-world issues relevant to their lives in a major global city. For instance, environmental science lessons might focus on the health of Sydney Harbour, while humanities classes might explore urban migration patterns within the Greater Sydney region.</w:t>
      </w:r>
      <w:r>
        <w:t xml:space="preserve"> </w:t>
      </w:r>
      <w:r>
        <w:t xml:space="preserve">Assessment practices are also evolving. While traditional exams remain important, there is a growing emphasis on formative assessment and feedback loops that allow students to improve continuously. A skilled</w:t>
      </w:r>
      <w:r>
        <w:t xml:space="preserve"> </w:t>
      </w:r>
      <w:r>
        <w:rPr>
          <w:bCs/>
          <w:b/>
        </w:rPr>
        <w:t xml:space="preserve">Teacher Secondary</w:t>
      </w:r>
      <w:r>
        <w:t xml:space="preserve"> </w:t>
      </w:r>
      <w:r>
        <w:t xml:space="preserve">uses data not just for grading but to inform instruction, identifying gaps in knowledge early and providing targeted support. This data-driven approach ensures that every student, regardless of their starting point, has the opportunity to succeed within the high-stakes environment of Australian secondary education.</w:t>
      </w:r>
    </w:p>
    <w:bookmarkEnd w:id="23"/>
    <w:bookmarkStart w:id="24" w:name="Xc56b572c569162f1dd0335923ff1193fe4cb75f"/>
    <w:p>
      <w:pPr>
        <w:pStyle w:val="Heading2"/>
      </w:pPr>
      <w:r>
        <w:t xml:space="preserve">IV. Professional Collaboration and Well-being</w:t>
      </w:r>
    </w:p>
    <w:p>
      <w:pPr>
        <w:pStyle w:val="FirstParagraph"/>
      </w:pPr>
      <w:r>
        <w:t xml:space="preserve">Teaching in</w:t>
      </w:r>
      <w:r>
        <w:t xml:space="preserve"> </w:t>
      </w:r>
      <w:r>
        <w:rPr>
          <w:bCs/>
          <w:b/>
        </w:rPr>
        <w:t xml:space="preserve">Australia Sydney</w:t>
      </w:r>
      <w:r>
        <w:t xml:space="preserve"> </w:t>
      </w:r>
      <w:r>
        <w:t xml:space="preserve">is rarely an isolated profession. Successful schools operate as collaborative communities where teachers work in teams to plan curriculum, share best practices, and support students with complex needs. The concept of the professional learning community (PLC) is vital here. A</w:t>
      </w:r>
      <w:r>
        <w:t xml:space="preserve"> </w:t>
      </w:r>
      <w:r>
        <w:rPr>
          <w:bCs/>
          <w:b/>
        </w:rPr>
        <w:t xml:space="preserve">Teacher Secondary</w:t>
      </w:r>
      <w:r>
        <w:t xml:space="preserve"> </w:t>
      </w:r>
      <w:r>
        <w:t xml:space="preserve">must be willing to engage in peer observation, co-teaching arrangements, and reflective dialogue with colleagues. This collaboration helps mitigate the risk of burnout—a significant concern given the high demands placed on educators in major metropolitan centers like Sydney.</w:t>
      </w:r>
      <w:r>
        <w:t xml:space="preserve"> </w:t>
      </w:r>
      <w:r>
        <w:t xml:space="preserve">Moreover, teacher well-being is increasingly recognized as a prerequisite for student success. Schools in</w:t>
      </w:r>
      <w:r>
        <w:t xml:space="preserve"> </w:t>
      </w:r>
      <w:r>
        <w:rPr>
          <w:bCs/>
          <w:b/>
        </w:rPr>
        <w:t xml:space="preserve">Australia Sydney</w:t>
      </w:r>
      <w:r>
        <w:t xml:space="preserve"> </w:t>
      </w:r>
      <w:r>
        <w:t xml:space="preserve">are implementing wellness programs to support staff mental health, recognizing that teachers who are supported can better support their students. For the educator, this means prioritizing self-care and establishing professional boundaries while remaining engaged and passionate about their craft.</w:t>
      </w:r>
    </w:p>
    <w:bookmarkEnd w:id="24"/>
    <w:bookmarkStart w:id="25" w:name="v.-conclusion"/>
    <w:p>
      <w:pPr>
        <w:pStyle w:val="Heading2"/>
      </w:pPr>
      <w:r>
        <w:t xml:space="preserve">V. Conclusion</w:t>
      </w:r>
    </w:p>
    <w:p>
      <w:pPr>
        <w:pStyle w:val="FirstParagraph"/>
      </w:pPr>
      <w:r>
        <w:t xml:space="preserve">In conclusion, the role of a</w:t>
      </w:r>
      <w:r>
        <w:t xml:space="preserve"> </w:t>
      </w:r>
      <w:r>
        <w:rPr>
          <w:bCs/>
          <w:b/>
        </w:rPr>
        <w:t xml:space="preserve">Teacher Secondary</w:t>
      </w:r>
      <w:r>
        <w:t xml:space="preserve"> </w:t>
      </w:r>
      <w:r>
        <w:t xml:space="preserve">in</w:t>
      </w:r>
      <w:r>
        <w:t xml:space="preserve"> </w:t>
      </w:r>
      <w:r>
        <w:rPr>
          <w:bCs/>
          <w:b/>
        </w:rPr>
        <w:t xml:space="preserve">Australia Sydney</w:t>
      </w:r>
      <w:r>
        <w:t xml:space="preserve"> </w:t>
      </w:r>
      <w:r>
        <w:t xml:space="preserve">is complex, demanding, and profoundly impactful. It requires a blend of academic expertise, cultural sensitivity, emotional intelligence, and collaborative spirit. The educators operating within this vibrant city are not just delivering content; they are shaping the future leaders of a diverse nation. They navigate the challenges of inclusion and high academic expectations while fostering an environment where every student feels valued and empowered to learn.</w:t>
      </w:r>
      <w:r>
        <w:t xml:space="preserve"> </w:t>
      </w:r>
      <w:r>
        <w:t xml:space="preserve">As</w:t>
      </w:r>
      <w:r>
        <w:t xml:space="preserve"> </w:t>
      </w:r>
      <w:r>
        <w:rPr>
          <w:bCs/>
          <w:b/>
        </w:rPr>
        <w:t xml:space="preserve">Australia Sydney</w:t>
      </w:r>
      <w:r>
        <w:t xml:space="preserve"> </w:t>
      </w:r>
      <w:r>
        <w:t xml:space="preserve">continues to grow and evolve, so too will the responsibilities of its secondary teachers. The key to success lies in adaptability, a commitment to lifelong learning, and a deep-seated belief in the potential of every young person. By embracing these challenges with professionalism and compassion, teachers ensure that secondary education remains a pillar of equity and excellence in our society. This report underscores that being an effective</w:t>
      </w:r>
      <w:r>
        <w:t xml:space="preserve"> </w:t>
      </w:r>
      <w:r>
        <w:rPr>
          <w:bCs/>
          <w:b/>
        </w:rPr>
        <w:t xml:space="preserve">Teacher Secondary</w:t>
      </w:r>
      <w:r>
        <w:t xml:space="preserve"> </w:t>
      </w:r>
      <w:r>
        <w:t xml:space="preserve">is not just about teaching subjects; it is about nurturing minds and building bridges in one of the world’s most exciting educational landscapes.</w:t>
      </w:r>
    </w:p>
    <w:p>
      <w:r>
        <w:pict>
          <v:rect style="width:0;height:1.5pt" o:hralign="center" o:hrstd="t" o:hr="t"/>
        </w:pict>
      </w:r>
    </w:p>
    <w:p>
      <w:pPr>
        <w:pStyle w:val="FirstParagraph"/>
      </w:pPr>
      <w:r>
        <w:t xml:space="preserve">Report prepared for professional development review in Sydney, NSW.</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 Sydney Context</dc:title>
  <dc:creator/>
  <dc:language>en</dc:language>
  <cp:keywords/>
  <dcterms:created xsi:type="dcterms:W3CDTF">2026-07-29T10:39:54Z</dcterms:created>
  <dcterms:modified xsi:type="dcterms:W3CDTF">2026-07-29T10:39:54Z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