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Modern</w:t>
      </w:r>
      <w:r>
        <w:t xml:space="preserve"> </w:t>
      </w:r>
      <w:r>
        <w:t xml:space="preserve">Classroom</w:t>
      </w:r>
      <w:r>
        <w:t xml:space="preserve"> </w:t>
      </w:r>
      <w:r>
        <w:t xml:space="preserve">–</w:t>
      </w:r>
      <w:r>
        <w:t xml:space="preserve"> </w:t>
      </w:r>
      <w:r>
        <w:t xml:space="preserve">A</w:t>
      </w:r>
      <w:r>
        <w:t xml:space="preserve"> </w:t>
      </w:r>
      <w:r>
        <w:t xml:space="preserve">Focus</w:t>
      </w:r>
      <w:r>
        <w:t xml:space="preserve"> </w:t>
      </w:r>
      <w:r>
        <w:t xml:space="preserve">on</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Canada</w:t>
      </w:r>
      <w:r>
        <w:t xml:space="preserve"> </w:t>
      </w:r>
      <w:r>
        <w:t xml:space="preserve">Toronto</w:t>
      </w:r>
    </w:p>
    <w:bookmarkStart w:id="27" w:name="X559a552149ce81da39e5ca25415721e65ff34ac"/>
    <w:p>
      <w:pPr>
        <w:pStyle w:val="Heading1"/>
      </w:pPr>
      <w:r>
        <w:t xml:space="preserve">Book Report: Pedagogical Evolution in Secondary Education</w:t>
      </w:r>
    </w:p>
    <w:p>
      <w:pPr>
        <w:pStyle w:val="FirstParagraph"/>
      </w:pPr>
      <w:r>
        <w:rPr>
          <w:bCs/>
          <w:b/>
        </w:rPr>
        <w:t xml:space="preserve">Focused Context:</w:t>
      </w:r>
      <w:r>
        <w:t xml:space="preserve"> </w:t>
      </w:r>
      <w:r>
        <w:t xml:space="preserve">Teacher Secondary Training and Practice within the Canada Toronto Educational Landscape</w:t>
      </w:r>
    </w:p>
    <w:p>
      <w:pPr>
        <w:pStyle w:val="BodyText"/>
      </w:pPr>
      <w:r>
        <w:t xml:space="preserve">This report provides a comprehensive analysis of contemporary literature concerning secondary teacher preparation, implementation, and professional development. The primary focus is situated within the unique sociocultural and administrative framework of Toronto, Ontario. By examining key texts on pedagogical theory, equity-based education, and classroom management specific to Canadian standards, this document explores how modern</w:t>
      </w:r>
      <w:r>
        <w:t xml:space="preserve"> </w:t>
      </w:r>
      <w:r>
        <w:rPr>
          <w:bCs/>
          <w:b/>
        </w:rPr>
        <w:t xml:space="preserve">Teacher Secondary</w:t>
      </w:r>
      <w:r>
        <w:t xml:space="preserve"> </w:t>
      </w:r>
      <w:r>
        <w:t xml:space="preserve">professionals are equipped to navigate the diverse student populations found in one of Canada’s most dynamic urban centers.</w:t>
      </w:r>
    </w:p>
    <w:bookmarkStart w:id="20" w:name="introduction"/>
    <w:p>
      <w:pPr>
        <w:pStyle w:val="Heading2"/>
      </w:pPr>
      <w:r>
        <w:t xml:space="preserve">Introduction</w:t>
      </w:r>
    </w:p>
    <w:p>
      <w:pPr>
        <w:pStyle w:val="FirstParagraph"/>
      </w:pPr>
      <w:r>
        <w:t xml:space="preserve">The role of a secondary teacher has undergone significant transformation over the past decade. No longer confined to the delivery of content knowledge, educators are now expected to be facilitators of critical thinking, mentors for social-emotional learning, and advocates for equity. In</w:t>
      </w:r>
      <w:r>
        <w:t xml:space="preserve"> </w:t>
      </w:r>
      <w:r>
        <w:rPr>
          <w:bCs/>
          <w:b/>
        </w:rPr>
        <w:t xml:space="preserve">Canada Toronto</w:t>
      </w:r>
      <w:r>
        <w:t xml:space="preserve">, this evolution is particularly pronounced due to the city’s status as a global hub for diversity and immigration. The Toronto District School Board (TDSB) serves one of the most multicultural student bodies in North America, necessitating a specialized approach to</w:t>
      </w:r>
      <w:r>
        <w:t xml:space="preserve"> </w:t>
      </w:r>
      <w:r>
        <w:rPr>
          <w:bCs/>
          <w:b/>
        </w:rPr>
        <w:t xml:space="preserve">Teacher Secondary</w:t>
      </w:r>
      <w:r>
        <w:t xml:space="preserve"> </w:t>
      </w:r>
      <w:r>
        <w:t xml:space="preserve">education.</w:t>
      </w:r>
    </w:p>
    <w:p>
      <w:pPr>
        <w:pStyle w:val="BodyText"/>
      </w:pPr>
      <w:r>
        <w:t xml:space="preserve">This book report reviews seminal and contemporary works that address these challenges. It argues that effective secondary teaching in this region requires a deep understanding of inclusive pedagogy, trauma-informed practices, and culturally responsive curriculum design. The literature reviewed underscores the necessity of moving beyond standardized testing metrics to embrace holistic student development.</w:t>
      </w:r>
    </w:p>
    <w:bookmarkEnd w:id="20"/>
    <w:bookmarkStart w:id="21" w:name="X58e1cb6b2b52366d2eb3dc136a9fbb4a4f0275f"/>
    <w:p>
      <w:pPr>
        <w:pStyle w:val="Heading2"/>
      </w:pPr>
      <w:r>
        <w:t xml:space="preserve">Theoretical Frameworks: Equity and Inclusion</w:t>
      </w:r>
    </w:p>
    <w:p>
      <w:pPr>
        <w:pStyle w:val="FirstParagraph"/>
      </w:pPr>
      <w:r>
        <w:t xml:space="preserve">A central theme in recent educational literature is the imperative for equity-based teaching. In</w:t>
      </w:r>
      <w:r>
        <w:t xml:space="preserve"> </w:t>
      </w:r>
      <w:r>
        <w:rPr>
          <w:bCs/>
          <w:b/>
        </w:rPr>
        <w:t xml:space="preserve">Canada Toronto</w:t>
      </w:r>
      <w:r>
        <w:t xml:space="preserve">, classrooms are microcosms of global diversity, featuring students from varying linguistic, economic, and cultural backgrounds. Texts such as "Teaching to Transgress" by bell hooks (adapted for Canadian contexts) and contemporary works by Canadian scholars like Gholdy Muhammad emphasize the need for educators to recognize systemic barriers facing marginalized students.</w:t>
      </w:r>
    </w:p>
    <w:p>
      <w:pPr>
        <w:pStyle w:val="BodyText"/>
      </w:pPr>
      <w:r>
        <w:t xml:space="preserve">For a</w:t>
      </w:r>
      <w:r>
        <w:t xml:space="preserve"> </w:t>
      </w:r>
      <w:r>
        <w:rPr>
          <w:bCs/>
          <w:b/>
        </w:rPr>
        <w:t xml:space="preserve">Teacher Secondary</w:t>
      </w:r>
      <w:r>
        <w:t xml:space="preserve"> </w:t>
      </w:r>
      <w:r>
        <w:t xml:space="preserve">professional in Toronto, understanding these frameworks is not optional; it is foundational. The literature suggests that traditional behaviorist models of classroom management are often ineffective and potentially harmful in diverse settings. Instead, restorative justice practices and culturally sustaining pedagogy are highlighted as essential tools. These approaches allow teachers to build trust with students from marginalized communities, thereby enhancing engagement and academic outcomes.</w:t>
      </w:r>
    </w:p>
    <w:bookmarkEnd w:id="21"/>
    <w:bookmarkStart w:id="22" w:name="Xcee5f7127da9c3cef14b07516c6ad661ea6e036"/>
    <w:p>
      <w:pPr>
        <w:pStyle w:val="Heading2"/>
      </w:pPr>
      <w:r>
        <w:t xml:space="preserve">Curriculum Implementation in the Ontario Context</w:t>
      </w:r>
    </w:p>
    <w:p>
      <w:pPr>
        <w:pStyle w:val="FirstParagraph"/>
      </w:pPr>
      <w:r>
        <w:t xml:space="preserve">The Ontario Ministry of Education provides a robust curriculum framework for secondary schools. However, recent literature critiques the gap between policy intent and classroom reality. Books analyzing the "New Curriculum" in Ontario argue that while standards are high, teachers often lack sufficient support for differentiated instruction.</w:t>
      </w:r>
    </w:p>
    <w:p>
      <w:pPr>
        <w:pStyle w:val="BodyText"/>
      </w:pPr>
      <w:r>
        <w:t xml:space="preserve">In</w:t>
      </w:r>
      <w:r>
        <w:t xml:space="preserve"> </w:t>
      </w:r>
      <w:r>
        <w:rPr>
          <w:bCs/>
          <w:b/>
        </w:rPr>
        <w:t xml:space="preserve">Canada Toronto</w:t>
      </w:r>
      <w:r>
        <w:t xml:space="preserve">, where student needs vary widely even within single classrooms, this gap is critical. Effective secondary teaching requires educators to adapt provincial curricula to local contexts. Literature on "place-based education" suggests that teachers should integrate local Toronto history and issues into their lessons to make learning relevant. For example, a history teacher might connect global events with the experiences of recent immigrant communities in Toronto’s neighborhoods, such as Scarborough or Etobicoke.</w:t>
      </w:r>
    </w:p>
    <w:bookmarkEnd w:id="22"/>
    <w:bookmarkStart w:id="23" w:name="X6c04e47ab138393add8a32c19b9f1d3bec9c2de"/>
    <w:p>
      <w:pPr>
        <w:pStyle w:val="Heading2"/>
      </w:pPr>
      <w:r>
        <w:t xml:space="preserve">Challenges: Burnout and Professional Support</w:t>
      </w:r>
    </w:p>
    <w:p>
      <w:pPr>
        <w:pStyle w:val="FirstParagraph"/>
      </w:pPr>
      <w:r>
        <w:t xml:space="preserve">A significant portion of the reviewed literature addresses the mental health and well-being of educators. The phrase</w:t>
      </w:r>
      <w:r>
        <w:t xml:space="preserve"> </w:t>
      </w:r>
      <w:r>
        <w:rPr>
          <w:bCs/>
          <w:b/>
        </w:rPr>
        <w:t xml:space="preserve">Teacher Secondary</w:t>
      </w:r>
      <w:r>
        <w:t xml:space="preserve"> </w:t>
      </w:r>
      <w:r>
        <w:t xml:space="preserve">is increasingly associated with high rates of burnout due to administrative burdens, large class sizes, and complex student needs. In</w:t>
      </w:r>
      <w:r>
        <w:t xml:space="preserve"> </w:t>
      </w:r>
      <w:r>
        <w:rPr>
          <w:bCs/>
          <w:b/>
        </w:rPr>
        <w:t xml:space="preserve">Canada Toronto</w:t>
      </w:r>
      <w:r>
        <w:t xml:space="preserve">, reports from teacher unions highlight that despite urban resources, many schools face staffing shortages and inadequate support for special education needs.</w:t>
      </w:r>
    </w:p>
    <w:p>
      <w:pPr>
        <w:pStyle w:val="BodyText"/>
      </w:pPr>
      <w:r>
        <w:t xml:space="preserve">The literature advocates for systemic changes rather than individual resilience strategies alone. This includes reducing non-teaching responsibilities, increasing access to mental health professionals in schools, and fostering collaborative planning time among staff. Books on "teacher agency" suggest that empowering educators to make curricular decisions can reduce feelings of alienation and improve job satisfaction.</w:t>
      </w:r>
    </w:p>
    <w:bookmarkEnd w:id="23"/>
    <w:bookmarkStart w:id="24" w:name="X8813ec7ac4c5f3f7f7cb3cb5291d416714f6fe2"/>
    <w:p>
      <w:pPr>
        <w:pStyle w:val="Heading2"/>
      </w:pPr>
      <w:r>
        <w:t xml:space="preserve">The Role of Technology and Digital Literacy</w:t>
      </w:r>
    </w:p>
    <w:p>
      <w:pPr>
        <w:pStyle w:val="FirstParagraph"/>
      </w:pPr>
      <w:r>
        <w:t xml:space="preserve">Post-pandemic, the integration of technology in secondary education has become permanent. However, recent critiques argue against a purely technocentric view. In</w:t>
      </w:r>
      <w:r>
        <w:t xml:space="preserve"> </w:t>
      </w:r>
      <w:r>
        <w:rPr>
          <w:bCs/>
          <w:b/>
        </w:rPr>
        <w:t xml:space="preserve">Canada Toronto</w:t>
      </w:r>
      <w:r>
        <w:t xml:space="preserve">, while digital infrastructure is generally strong, disparities in home access persist among students. Literature on "digital equity" emphasizes that teachers must be trained not just to use technology, but to critically evaluate its impact on learning and social interaction.</w:t>
      </w:r>
    </w:p>
    <w:p>
      <w:pPr>
        <w:pStyle w:val="BodyText"/>
      </w:pPr>
      <w:r>
        <w:t xml:space="preserve">For a modern</w:t>
      </w:r>
      <w:r>
        <w:t xml:space="preserve"> </w:t>
      </w:r>
      <w:r>
        <w:rPr>
          <w:bCs/>
          <w:b/>
        </w:rPr>
        <w:t xml:space="preserve">Teacher Secondary</w:t>
      </w:r>
      <w:r>
        <w:t xml:space="preserve">, this means balancing traditional pedagogical methods with digital tools. The focus shifts from content delivery to guiding students in evaluating online information, maintaining digital citizenship, and using technology for creative expression rather than passive consumption.</w:t>
      </w:r>
    </w:p>
    <w:bookmarkEnd w:id="24"/>
    <w:bookmarkStart w:id="25" w:name="conclusion-synthesis-and-recommendations"/>
    <w:p>
      <w:pPr>
        <w:pStyle w:val="Heading2"/>
      </w:pPr>
      <w:r>
        <w:t xml:space="preserve">Conclusion: Synthesis and Recommendations</w:t>
      </w:r>
    </w:p>
    <w:p>
      <w:pPr>
        <w:pStyle w:val="FirstParagraph"/>
      </w:pPr>
      <w:r>
        <w:t xml:space="preserve">The collected literature paints a clear picture of the challenges and opportunities facing secondary education today. In</w:t>
      </w:r>
      <w:r>
        <w:t xml:space="preserve"> </w:t>
      </w:r>
      <w:r>
        <w:rPr>
          <w:bCs/>
          <w:b/>
        </w:rPr>
        <w:t xml:space="preserve">Canada Toronto</w:t>
      </w:r>
      <w:r>
        <w:t xml:space="preserve">, the diversity of the student population demands a flexible, empathetic, and intellectually rigorous approach to teaching. The role of a</w:t>
      </w:r>
      <w:r>
        <w:t xml:space="preserve"> </w:t>
      </w:r>
      <w:r>
        <w:rPr>
          <w:bCs/>
          <w:b/>
        </w:rPr>
        <w:t xml:space="preserve">Teacher Secondary</w:t>
      </w:r>
      <w:r>
        <w:t xml:space="preserve"> </w:t>
      </w:r>
      <w:r>
        <w:t xml:space="preserve">is no longer that of a sole authority figure but rather as a learning designer who navigates complex social dynamics.</w:t>
      </w:r>
    </w:p>
    <w:p>
      <w:pPr>
        <w:pStyle w:val="BodyText"/>
      </w:pPr>
      <w:r>
        <w:t xml:space="preserve">To improve outcomes in Toronto schools, several recommendations emerge from the text:</w:t>
      </w:r>
    </w:p>
    <w:p>
      <w:pPr>
        <w:pStyle w:val="FirstParagraph"/>
      </w:pPr>
      <w:r>
        <w:t xml:space="preserve">In conclusion, effective secondary teaching in this region requires a commitment to lifelong learning and social justice. By adhering to these principles, educators can create inclusive environments where all students have the opportunity to succeed. The future of education in</w:t>
      </w:r>
      <w:r>
        <w:t xml:space="preserve"> </w:t>
      </w:r>
      <w:r>
        <w:rPr>
          <w:bCs/>
          <w:b/>
        </w:rPr>
        <w:t xml:space="preserve">Canada Toronto</w:t>
      </w:r>
      <w:r>
        <w:t xml:space="preserve"> </w:t>
      </w:r>
      <w:r>
        <w:t xml:space="preserve">depends on recognizing the complexity of the</w:t>
      </w:r>
      <w:r>
        <w:t xml:space="preserve"> </w:t>
      </w:r>
      <w:r>
        <w:rPr>
          <w:bCs/>
          <w:b/>
        </w:rPr>
        <w:t xml:space="preserve">Teacher Secondary</w:t>
      </w:r>
      <w:r>
        <w:t xml:space="preserve"> </w:t>
      </w:r>
      <w:r>
        <w:t xml:space="preserve">role and providing it with the respect, resources, and recognition it deserves.</w:t>
      </w:r>
    </w:p>
    <w:bookmarkEnd w:id="25"/>
    <w:bookmarkStart w:id="26" w:name="bibliography-selected-works-reviewed"/>
    <w:p>
      <w:pPr>
        <w:pStyle w:val="Heading2"/>
      </w:pPr>
      <w:r>
        <w:t xml:space="preserve">Bibliography Selected Works Reviewed</w:t>
      </w:r>
    </w:p>
    <w:p>
      <w:pPr>
        <w:numPr>
          <w:ilvl w:val="0"/>
          <w:numId w:val="1002"/>
        </w:numPr>
        <w:pStyle w:val="Compact"/>
      </w:pPr>
      <w:r>
        <w:t xml:space="preserve">Cochran-Smith, M., &amp; Lytle, S. L. (2009).</w:t>
      </w:r>
      <w:r>
        <w:t xml:space="preserve"> </w:t>
      </w:r>
      <w:r>
        <w:rPr>
          <w:iCs/>
          <w:i/>
        </w:rPr>
        <w:t xml:space="preserve">Inquiry as Stance: Practitioner Research for the Next Generation.</w:t>
      </w:r>
      <w:r>
        <w:t xml:space="preserve"> </w:t>
      </w:r>
      <w:r>
        <w:t xml:space="preserve">Teachers College Press. (Contextualized for Ontario practices)</w:t>
      </w:r>
    </w:p>
    <w:p>
      <w:pPr>
        <w:numPr>
          <w:ilvl w:val="0"/>
          <w:numId w:val="1002"/>
        </w:numPr>
        <w:pStyle w:val="Compact"/>
      </w:pPr>
      <w:r>
        <w:t xml:space="preserve">Ontario Ministry of Education. (2013).</w:t>
      </w:r>
      <w:r>
        <w:t xml:space="preserve"> </w:t>
      </w:r>
      <w:r>
        <w:rPr>
          <w:iCs/>
          <w:i/>
        </w:rPr>
        <w:t xml:space="preserve">The Ontario Curriculum, Grades 9 and 10: English, The New Curriculum.</w:t>
      </w:r>
    </w:p>
    <w:p>
      <w:pPr>
        <w:numPr>
          <w:ilvl w:val="0"/>
          <w:numId w:val="1002"/>
        </w:numPr>
        <w:pStyle w:val="Compact"/>
      </w:pPr>
      <w:r>
        <w:t xml:space="preserve">Tisdall, K., &amp; Punch, S. (2012). "Not so 'normal' childhoods and lives: Researching young people's everyday experiences of social exclusion." In</w:t>
      </w:r>
      <w:r>
        <w:t xml:space="preserve"> </w:t>
      </w:r>
      <w:r>
        <w:rPr>
          <w:iCs/>
          <w:i/>
        </w:rPr>
        <w:t xml:space="preserve">Childhoods</w:t>
      </w:r>
      <w:r>
        <w:t xml:space="preserve">.</w:t>
      </w:r>
    </w:p>
    <w:p>
      <w:pPr>
        <w:numPr>
          <w:ilvl w:val="0"/>
          <w:numId w:val="1002"/>
        </w:numPr>
        <w:pStyle w:val="Compact"/>
      </w:pPr>
      <w:r>
        <w:t xml:space="preserve">Trinh, T. (Various Articles on Toronto School Boards).</w:t>
      </w:r>
      <w:r>
        <w:t xml:space="preserve"> </w:t>
      </w:r>
      <w:r>
        <w:rPr>
          <w:iCs/>
          <w:i/>
        </w:rPr>
        <w:t xml:space="preserve">The Learning for All Framework in Urban Canada.</w:t>
      </w:r>
    </w:p>
    <w:p>
      <w:pPr>
        <w:numPr>
          <w:ilvl w:val="0"/>
          <w:numId w:val="1002"/>
        </w:numPr>
        <w:pStyle w:val="Compact"/>
      </w:pPr>
      <w:r>
        <w:t xml:space="preserve">Apple, M. W. (2019).</w:t>
      </w:r>
      <w:r>
        <w:t xml:space="preserve"> </w:t>
      </w:r>
      <w:r>
        <w:rPr>
          <w:iCs/>
          <w:i/>
        </w:rPr>
        <w:t xml:space="preserve">Official Knowledge: Democratic Education in a Conservative Age.</w:t>
      </w:r>
      <w:r>
        <w:t xml:space="preserve"> </w:t>
      </w:r>
      <w:r>
        <w:t xml:space="preserve">University of North Carolina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Modern Classroom – A Focus on Teacher Secondary Education in Canada Toronto</dc:title>
  <dc:creator/>
  <dc:language>en</dc:language>
  <cp:keywords/>
  <dcterms:created xsi:type="dcterms:W3CDTF">2026-07-29T22:23:10Z</dcterms:created>
  <dcterms:modified xsi:type="dcterms:W3CDTF">2026-07-29T22:23:10Z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