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Germany</w:t>
      </w:r>
      <w:r>
        <w:t xml:space="preserve"> </w:t>
      </w:r>
      <w:r>
        <w:t xml:space="preserve">Frankfurt</w:t>
      </w:r>
    </w:p>
    <w:bookmarkStart w:id="30" w:name="X170595cf828c8e698e5954b81d4d172d0c0e0a8"/>
    <w:p>
      <w:pPr>
        <w:pStyle w:val="Heading1"/>
      </w:pPr>
      <w:r>
        <w:t xml:space="preserve">Comprehensive Book Report and Educational Analysis</w:t>
      </w:r>
    </w:p>
    <w:p>
      <w:pPr>
        <w:pStyle w:val="FirstParagraph"/>
      </w:pPr>
      <w:r>
        <w:rPr>
          <w:bCs/>
          <w:b/>
        </w:rPr>
        <w:t xml:space="preserve">Title:</w:t>
      </w:r>
      <w:r>
        <w:t xml:space="preserve"> </w:t>
      </w:r>
      <w:r>
        <w:t xml:space="preserve">Strategic Adaptation of the Secondary Teacher in Germany Frankfurt</w:t>
      </w:r>
      <w:r>
        <w:br/>
      </w:r>
      <w:r>
        <w:rPr>
          <w:bCs/>
          <w:b/>
        </w:rPr>
        <w:t xml:space="preserve">Date:</w:t>
      </w:r>
      <w:r>
        <w:t xml:space="preserve"> </w:t>
      </w:r>
      <w:r>
        <w:t xml:space="preserve">October 26, 2023</w:t>
      </w:r>
      <w:r>
        <w:br/>
      </w:r>
      <w:r>
        <w:rPr>
          <w:bCs/>
          <w:b/>
        </w:rPr>
        <w:t xml:space="preserve">Region Focus:</w:t>
      </w:r>
      <w:r>
        <w:t xml:space="preserve"> </w:t>
      </w:r>
      <w:r>
        <w:t xml:space="preserve">Germany, Frankfurt am Main</w:t>
      </w:r>
      <w:r>
        <w:br/>
      </w:r>
      <w:r>
        <w:t xml:space="preserve">Estimated Word Count: &gt;800 words</w:t>
      </w:r>
    </w:p>
    <w:bookmarkStart w:id="20" w:name="i.-introduction"/>
    <w:p>
      <w:pPr>
        <w:pStyle w:val="Heading2"/>
      </w:pPr>
      <w:r>
        <w:t xml:space="preserve">I. Introduction</w:t>
      </w:r>
    </w:p>
    <w:p>
      <w:pPr>
        <w:pStyle w:val="FirstParagraph"/>
      </w:pPr>
      <w:r>
        <w:t xml:space="preserve">The landscape of secondary education is undergoing a profound transformation, particularly in urban centers that serve as gateways to international commerce and culture. This report provides an exhaustive analysis of the role, challenges, and requisite competencies of the</w:t>
      </w:r>
      <w:r>
        <w:t xml:space="preserve"> </w:t>
      </w:r>
      <w:r>
        <w:rPr>
          <w:bCs/>
          <w:b/>
        </w:rPr>
        <w:t xml:space="preserve">Teacher Secondary</w:t>
      </w:r>
      <w:r>
        <w:t xml:space="preserve"> </w:t>
      </w:r>
      <w:r>
        <w:t xml:space="preserve">professional within the specific sociological and pedagogical context of</w:t>
      </w:r>
      <w:r>
        <w:t xml:space="preserve"> </w:t>
      </w:r>
      <w:r>
        <w:rPr>
          <w:bCs/>
          <w:b/>
        </w:rPr>
        <w:t xml:space="preserve">Germany Frankfurt</w:t>
      </w:r>
      <w:r>
        <w:t xml:space="preserve">. As a financial hub with a highly diverse population, Frankfurt presents unique opportunities and distinct hurdles for educators. This document explores how modern secondary teaching methods must evolve to meet these challenges, ensuring that the educational framework remains robust, inclusive, and academically rigorous.</w:t>
      </w:r>
    </w:p>
    <w:bookmarkEnd w:id="20"/>
    <w:bookmarkStart w:id="21" w:name="ii.-the-context-germany-frankfurt"/>
    <w:p>
      <w:pPr>
        <w:pStyle w:val="Heading2"/>
      </w:pPr>
      <w:r>
        <w:t xml:space="preserve">II. The Context: Germany Frankfurt</w:t>
      </w:r>
    </w:p>
    <w:p>
      <w:pPr>
        <w:pStyle w:val="FirstParagraph"/>
      </w:pPr>
      <w:r>
        <w:t xml:space="preserve">To understand the efficacy of any</w:t>
      </w:r>
      <w:r>
        <w:t xml:space="preserve"> </w:t>
      </w:r>
      <w:r>
        <w:rPr>
          <w:bCs/>
          <w:b/>
        </w:rPr>
        <w:t xml:space="preserve">Teacher Secondary</w:t>
      </w:r>
      <w:r>
        <w:t xml:space="preserve">, one must first grasp the environment in which they operate.</w:t>
      </w:r>
      <w:r>
        <w:t xml:space="preserve"> </w:t>
      </w:r>
      <w:r>
        <w:rPr>
          <w:bCs/>
          <w:b/>
        </w:rPr>
        <w:t xml:space="preserve">Germany Frankfurt</w:t>
      </w:r>
      <w:r>
        <w:t xml:space="preserve">, officially known as Frankfurt am Main, is not merely a city; it is a cosmopolitan metropolis characterized by its high degree of internationalization. With over 30% of its residents having a migration background, the classrooms in Frankfurt are microcosms of global diversity.</w:t>
      </w:r>
    </w:p>
    <w:p>
      <w:pPr>
        <w:pStyle w:val="BodyText"/>
      </w:pPr>
      <w:r>
        <w:t xml:space="preserve">The educational system in Germany, and specifically within the state of Hesse (where Frankfurt is located), is rigorous. The secondary level (*Sekundarstufe I and II*) determines much of a student’s future trajectory, including their entry into vocational training (*Ausbildung*) or university education (*Abitur*). Therefore, the pressure on educators to facilitate this transition while managing cultural and linguistic diversity is immense. The infrastructure in</w:t>
      </w:r>
      <w:r>
        <w:t xml:space="preserve"> </w:t>
      </w:r>
      <w:r>
        <w:rPr>
          <w:bCs/>
          <w:b/>
        </w:rPr>
        <w:t xml:space="preserve">Germany Frankfurt</w:t>
      </w:r>
      <w:r>
        <w:t xml:space="preserve"> </w:t>
      </w:r>
      <w:r>
        <w:t xml:space="preserve">schools often reflects this modernity, with many institutions investing heavily in digital learning tools. However, technology alone cannot bridge the gap created by socio-economic disparities or language barriers.</w:t>
      </w:r>
    </w:p>
    <w:bookmarkEnd w:id="21"/>
    <w:bookmarkStart w:id="22" w:name="iii.-the-role-of-the-teacher-secondary"/>
    <w:p>
      <w:pPr>
        <w:pStyle w:val="Heading2"/>
      </w:pPr>
      <w:r>
        <w:t xml:space="preserve">III. The Role of the Teacher Secondary</w:t>
      </w:r>
    </w:p>
    <w:p>
      <w:pPr>
        <w:pStyle w:val="FirstParagraph"/>
      </w:pPr>
      <w:r>
        <w:t xml:space="preserve">The definition of a</w:t>
      </w:r>
      <w:r>
        <w:t xml:space="preserve"> </w:t>
      </w:r>
      <w:r>
        <w:rPr>
          <w:bCs/>
          <w:b/>
        </w:rPr>
        <w:t xml:space="preserve">Teacher Secondary</w:t>
      </w:r>
      <w:r>
        <w:t xml:space="preserve"> </w:t>
      </w:r>
      <w:r>
        <w:t xml:space="preserve">has expanded beyond simple instruction. In the context of</w:t>
      </w:r>
      <w:r>
        <w:t xml:space="preserve"> </w:t>
      </w:r>
      <w:r>
        <w:rPr>
          <w:bCs/>
          <w:b/>
        </w:rPr>
        <w:t xml:space="preserve">Germany Frankfurt</w:t>
      </w:r>
      <w:r>
        <w:t xml:space="preserve">, this professional acts as a cultural mediator, a social worker, and an academic mentor simultaneously. The primary responsibilities include:</w:t>
      </w:r>
    </w:p>
    <w:p>
      <w:pPr>
        <w:numPr>
          <w:ilvl w:val="0"/>
          <w:numId w:val="1001"/>
        </w:numPr>
        <w:pStyle w:val="Compact"/>
      </w:pPr>
      <w:r>
        <w:rPr>
          <w:bCs/>
          <w:b/>
        </w:rPr>
        <w:t xml:space="preserve">Pedagogical Expertise:</w:t>
      </w:r>
      <w:r>
        <w:t xml:space="preserve"> </w:t>
      </w:r>
      <w:r>
        <w:t xml:space="preserve">Delivering curriculum-aligned content in subjects such as Mathematics, Sciences, Humanities, or Languages. In Frankfurt’s international schools or bilingual programs within state schools (</w:t>
      </w:r>
      <w:r>
        <w:rPr>
          <w:iCs/>
          <w:i/>
        </w:rPr>
        <w:t xml:space="preserve">Zweisprachige Grundschulen und weiterführende Schulen</w:t>
      </w:r>
      <w:r>
        <w:t xml:space="preserve">, though less common at secondary levels compared to primary), teachers must often manage dual-language instruction.</w:t>
      </w:r>
    </w:p>
    <w:p>
      <w:pPr>
        <w:numPr>
          <w:ilvl w:val="0"/>
          <w:numId w:val="1001"/>
        </w:numPr>
        <w:pStyle w:val="Compact"/>
      </w:pPr>
      <w:r>
        <w:rPr>
          <w:bCs/>
          <w:b/>
        </w:rPr>
        <w:t xml:space="preserve">Cultural Competence:</w:t>
      </w:r>
      <w:r>
        <w:t xml:space="preserve"> </w:t>
      </w:r>
      <w:r>
        <w:t xml:space="preserve">A critical aspect for a</w:t>
      </w:r>
      <w:r>
        <w:t xml:space="preserve"> </w:t>
      </w:r>
      <w:r>
        <w:rPr>
          <w:bCs/>
          <w:b/>
        </w:rPr>
        <w:t xml:space="preserve">Teacher Secondary</w:t>
      </w:r>
      <w:r>
        <w:t xml:space="preserve"> </w:t>
      </w:r>
      <w:r>
        <w:t xml:space="preserve">in Frankfurt is the ability to navigate multicultural dynamics. This involves understanding the educational backgrounds of students who may have interrupted schooling or come from non-Western educational traditions. Sensitivity to diverse cultural norms regarding authority, gender roles, and communication styles is paramount.</w:t>
      </w:r>
    </w:p>
    <w:p>
      <w:pPr>
        <w:numPr>
          <w:ilvl w:val="0"/>
          <w:numId w:val="1001"/>
        </w:numPr>
        <w:pStyle w:val="Compact"/>
      </w:pPr>
      <w:r>
        <w:rPr>
          <w:bCs/>
          <w:b/>
        </w:rPr>
        <w:t xml:space="preserve">Social Integration:</w:t>
      </w:r>
      <w:r>
        <w:t xml:space="preserve"> </w:t>
      </w:r>
      <w:r>
        <w:t xml:space="preserve">Teachers are often on the front lines of integration efforts (*Integration*). They must create safe spaces where students feel valued regardless of their origin. This is particularly relevant in Frankfurt, where social cohesion is a key municipal priority.</w:t>
      </w:r>
    </w:p>
    <w:bookmarkEnd w:id="22"/>
    <w:bookmarkStart w:id="26" w:name="X5abf3cb19d57bf0a62b3b85b6bed8b4a6e12b4c"/>
    <w:p>
      <w:pPr>
        <w:pStyle w:val="Heading2"/>
      </w:pPr>
      <w:r>
        <w:t xml:space="preserve">IV. Key Challenges Facing Secondary Education in this Region</w:t>
      </w:r>
    </w:p>
    <w:p>
      <w:pPr>
        <w:pStyle w:val="FirstParagraph"/>
      </w:pPr>
      <w:r>
        <w:t xml:space="preserve">The transition to secondary education (*Sekundarstufe I*) marks a critical juncture for students in Germany. For</w:t>
      </w:r>
      <w:r>
        <w:t xml:space="preserve"> </w:t>
      </w:r>
      <w:r>
        <w:rPr>
          <w:bCs/>
          <w:b/>
        </w:rPr>
        <w:t xml:space="preserve">Teacher Secondary</w:t>
      </w:r>
      <w:r>
        <w:t xml:space="preserve"> </w:t>
      </w:r>
      <w:r>
        <w:t xml:space="preserve">professionals in Frankfurt, several specific challenges emerge:</w:t>
      </w:r>
    </w:p>
    <w:bookmarkStart w:id="23" w:name="a.-language-barriers-and-integration"/>
    <w:p>
      <w:pPr>
        <w:pStyle w:val="Heading3"/>
      </w:pPr>
      <w:r>
        <w:t xml:space="preserve">A. Language Barriers and Integration</w:t>
      </w:r>
    </w:p>
    <w:p>
      <w:pPr>
        <w:pStyle w:val="FirstParagraph"/>
      </w:pPr>
      <w:r>
        <w:t xml:space="preserve">A significant portion of the student population in</w:t>
      </w:r>
      <w:r>
        <w:t xml:space="preserve"> </w:t>
      </w:r>
      <w:r>
        <w:rPr>
          <w:bCs/>
          <w:b/>
        </w:rPr>
        <w:t xml:space="preserve">Germany Frankfurt</w:t>
      </w:r>
      <w:r>
        <w:t xml:space="preserve"> </w:t>
      </w:r>
      <w:r>
        <w:t xml:space="preserve">may not be fully proficient in German, the language of instruction. The</w:t>
      </w:r>
      <w:r>
        <w:t xml:space="preserve"> </w:t>
      </w:r>
      <w:r>
        <w:rPr>
          <w:bCs/>
          <w:b/>
        </w:rPr>
        <w:t xml:space="preserve">Teacher Secondary</w:t>
      </w:r>
      <w:r>
        <w:t xml:space="preserve"> </w:t>
      </w:r>
      <w:r>
        <w:t xml:space="preserve">must employ scaffolding techniques to ensure content comprehension while simultaneously promoting language acquisition. This requires specialized training in DaF (*Deutsch als Fremdsprache*) methods, even for non-language subject teachers.</w:t>
      </w:r>
    </w:p>
    <w:bookmarkEnd w:id="23"/>
    <w:bookmarkStart w:id="24" w:name="b.-digital-equity"/>
    <w:p>
      <w:pPr>
        <w:pStyle w:val="Heading3"/>
      </w:pPr>
      <w:r>
        <w:t xml:space="preserve">B. Digital Equity</w:t>
      </w:r>
    </w:p>
    <w:p>
      <w:pPr>
        <w:pStyle w:val="FirstParagraph"/>
      </w:pPr>
      <w:r>
        <w:t xml:space="preserve">Frankfurt is known as the "Mainhattan" skyline and a tech hub. However, the digital divide persists among lower-income families. The modern</w:t>
      </w:r>
      <w:r>
        <w:t xml:space="preserve"> </w:t>
      </w:r>
      <w:r>
        <w:rPr>
          <w:bCs/>
          <w:b/>
        </w:rPr>
        <w:t xml:space="preserve">Teacher Secondary</w:t>
      </w:r>
      <w:r>
        <w:t xml:space="preserve"> </w:t>
      </w:r>
      <w:r>
        <w:t xml:space="preserve">must be adept at utilizing Learning Management Systems (LMS) and digital tools to provide equitable access to resources, ensuring that lack of home technology does not hinder academic progress.</w:t>
      </w:r>
    </w:p>
    <w:bookmarkEnd w:id="24"/>
    <w:bookmarkStart w:id="25" w:name="c.-mental-health-and-social-stressors"/>
    <w:p>
      <w:pPr>
        <w:pStyle w:val="Heading3"/>
      </w:pPr>
      <w:r>
        <w:t xml:space="preserve">C. Mental Health and Social Stressors</w:t>
      </w:r>
    </w:p>
    <w:p>
      <w:pPr>
        <w:pStyle w:val="FirstParagraph"/>
      </w:pPr>
      <w:r>
        <w:t xml:space="preserve">The competitive nature of the German secondary system (*Gymnasium*, *Realschule*, *Gesamtschule*) creates high stress levels among adolescents. Teachers are increasingly expected to provide pastoral care, identifying signs of anxiety or social isolation early on.</w:t>
      </w:r>
    </w:p>
    <w:bookmarkEnd w:id="25"/>
    <w:bookmarkEnd w:id="26"/>
    <w:bookmarkStart w:id="27" w:name="X3835519addfd54b067dae7600831998c9dee5dc"/>
    <w:p>
      <w:pPr>
        <w:pStyle w:val="Heading2"/>
      </w:pPr>
      <w:r>
        <w:t xml:space="preserve">V. Required Competencies and Qualifications</w:t>
      </w:r>
    </w:p>
    <w:p>
      <w:pPr>
        <w:pStyle w:val="FirstParagraph"/>
      </w:pPr>
      <w:r>
        <w:t xml:space="preserve">To succeed as a</w:t>
      </w:r>
      <w:r>
        <w:t xml:space="preserve"> </w:t>
      </w:r>
      <w:r>
        <w:rPr>
          <w:bCs/>
          <w:b/>
        </w:rPr>
        <w:t xml:space="preserve">Teacher Secondary</w:t>
      </w:r>
      <w:r>
        <w:t xml:space="preserve"> </w:t>
      </w:r>
      <w:r>
        <w:t xml:space="preserve">in</w:t>
      </w:r>
      <w:r>
        <w:t xml:space="preserve"> </w:t>
      </w:r>
      <w:r>
        <w:rPr>
          <w:bCs/>
          <w:b/>
        </w:rPr>
        <w:t xml:space="preserve">Germany Frankfurt</w:t>
      </w:r>
      <w:r>
        <w:t xml:space="preserve">, specific qualifications and traits are non-negotiable:</w:t>
      </w:r>
    </w:p>
    <w:p>
      <w:pPr>
        <w:numPr>
          <w:ilvl w:val="0"/>
          <w:numId w:val="1002"/>
        </w:numPr>
        <w:pStyle w:val="Compact"/>
      </w:pPr>
      <w:r>
        <w:rPr>
          <w:bCs/>
          <w:b/>
        </w:rPr>
        <w:t xml:space="preserve">Bilingualism or Multilingualism:</w:t>
      </w:r>
      <w:r>
        <w:t xml:space="preserve"> </w:t>
      </w:r>
      <w:r>
        <w:t xml:space="preserve">While German is the primary language of instruction, proficiency in English is standard. Knowledge of Turkish, Arabic, Polish, or Romanian can be an immense asset in building rapport with students and families.</w:t>
      </w:r>
    </w:p>
    <w:p>
      <w:pPr>
        <w:numPr>
          <w:ilvl w:val="0"/>
          <w:numId w:val="1002"/>
        </w:numPr>
        <w:pStyle w:val="Compact"/>
      </w:pPr>
      <w:r>
        <w:rPr>
          <w:bCs/>
          <w:b/>
        </w:rPr>
        <w:t xml:space="preserve">Cultural Sensitivity Training:</w:t>
      </w:r>
      <w:r>
        <w:t xml:space="preserve"> </w:t>
      </w:r>
      <w:r>
        <w:t xml:space="preserve">Formal training in intercultural communication is essential. Understanding the nuances of migrant communities prevalent in Frankfurt (such as Turkish-, Arab-, and Eastern European-descended populations) helps prevent cultural misunderstandings.</w:t>
      </w:r>
    </w:p>
    <w:p>
      <w:pPr>
        <w:numPr>
          <w:ilvl w:val="0"/>
          <w:numId w:val="1002"/>
        </w:numPr>
        <w:pStyle w:val="Compact"/>
      </w:pPr>
      <w:r>
        <w:rPr>
          <w:bCs/>
          <w:b/>
        </w:rPr>
        <w:t xml:space="preserve">Digital Literacy:</w:t>
      </w:r>
      <w:r>
        <w:t xml:space="preserve"> </w:t>
      </w:r>
      <w:r>
        <w:t xml:space="preserve">Proficiency with modern educational technologies is expected. The education system in Hesse has pushed for digitalization, requiring teachers to be comfortable with smartboards, tablets, and online collaboration platforms.</w:t>
      </w:r>
    </w:p>
    <w:p>
      <w:pPr>
        <w:numPr>
          <w:ilvl w:val="0"/>
          <w:numId w:val="1002"/>
        </w:numPr>
        <w:pStyle w:val="Compact"/>
      </w:pPr>
      <w:r>
        <w:t xml:space="preserve">Legal Knowledge:</w:t>
      </w:r>
    </w:p>
    <w:bookmarkEnd w:id="27"/>
    <w:bookmarkStart w:id="28" w:name="X72796d4aaddcbc542175186c81927e04f7e1055"/>
    <w:p>
      <w:pPr>
        <w:pStyle w:val="Heading2"/>
      </w:pPr>
      <w:r>
        <w:t xml:space="preserve">VI. Strategies for Effective Implementation</w:t>
      </w:r>
    </w:p>
    <w:p>
      <w:pPr>
        <w:pStyle w:val="FirstParagraph"/>
      </w:pPr>
      <w:r>
        <w:t xml:space="preserve">Innovative strategies are being adopted by forward-thinking</w:t>
      </w:r>
      <w:r>
        <w:t xml:space="preserve"> </w:t>
      </w:r>
      <w:r>
        <w:rPr>
          <w:bCs/>
          <w:b/>
        </w:rPr>
        <w:t xml:space="preserve">Teacher Secondary</w:t>
      </w:r>
      <w:r>
        <w:t xml:space="preserve"> </w:t>
      </w:r>
      <w:r>
        <w:t xml:space="preserve">professionals in Frankfurt to enhance student outcomes:</w:t>
      </w:r>
    </w:p>
    <w:p>
      <w:pPr>
        <w:pStyle w:val="BodyText"/>
      </w:pPr>
      <w:r>
        <w:rPr>
          <w:bCs/>
          <w:b/>
        </w:rPr>
        <w:t xml:space="preserve">Mixed-Ability Grouping:</w:t>
      </w:r>
    </w:p>
    <w:p>
      <w:pPr>
        <w:pStyle w:val="BodyText"/>
      </w:pPr>
      <w:r>
        <w:t xml:space="preserve">Rather than rigid tracking, some schools are experimenting with more flexible grouping methods to encourage peer-to-peer learning. This helps bridge the gap between high-performing students and those who need additional support.</w:t>
      </w:r>
    </w:p>
    <w:p>
      <w:pPr>
        <w:pStyle w:val="BodyText"/>
      </w:pPr>
      <w:r>
        <w:rPr>
          <w:bCs/>
          <w:b/>
        </w:rPr>
        <w:t xml:space="preserve">Community Engagement:</w:t>
      </w:r>
    </w:p>
    <w:p>
      <w:pPr>
        <w:pStyle w:val="BodyText"/>
      </w:pPr>
      <w:r>
        <w:t xml:space="preserve">Collaboration with local NGOs, cultural centers, and municipal integration offices is vital. Teachers act as bridges between the school system and the wider community resources available in Frankfurt.</w:t>
      </w:r>
    </w:p>
    <w:p>
      <w:pPr>
        <w:pStyle w:val="BodyText"/>
      </w:pPr>
      <w:r>
        <w:rPr>
          <w:bCs/>
          <w:b/>
        </w:rPr>
        <w:t xml:space="preserve">Inclusive Curriculum Design:</w:t>
      </w:r>
    </w:p>
    <w:p>
      <w:pPr>
        <w:pStyle w:val="BodyText"/>
      </w:pPr>
      <w:r>
        <w:t xml:space="preserve">Curricula should reflect diverse histories and perspectives. In Humanities classes, for example, incorporating global perspectives alongside European history helps validate the identities of all students in a multicultural classroom like those found in</w:t>
      </w:r>
      <w:r>
        <w:t xml:space="preserve"> </w:t>
      </w:r>
      <w:r>
        <w:rPr>
          <w:bCs/>
          <w:b/>
        </w:rPr>
        <w:t xml:space="preserve">Germany Frankfurt</w:t>
      </w:r>
      <w:r>
        <w:t xml:space="preserve">.</w:t>
      </w:r>
    </w:p>
    <w:bookmarkEnd w:id="28"/>
    <w:bookmarkStart w:id="29" w:name="vii.-conclusion"/>
    <w:p>
      <w:pPr>
        <w:pStyle w:val="Heading2"/>
      </w:pPr>
      <w:r>
        <w:t xml:space="preserve">VII. Conclusion</w:t>
      </w:r>
    </w:p>
    <w:p>
      <w:pPr>
        <w:pStyle w:val="FirstParagraph"/>
      </w:pPr>
      <w:r>
        <w:t xml:space="preserve">The role of the</w:t>
      </w:r>
      <w:r>
        <w:t xml:space="preserve"> </w:t>
      </w:r>
      <w:r>
        <w:rPr>
          <w:bCs/>
          <w:b/>
        </w:rPr>
        <w:t xml:space="preserve">Teacher Secondary</w:t>
      </w:r>
      <w:r>
        <w:t xml:space="preserve"> </w:t>
      </w:r>
      <w:r>
        <w:t xml:space="preserve">is complex and multifaceted, particularly within the vibrant and challenging context of</w:t>
      </w:r>
      <w:r>
        <w:t xml:space="preserve"> </w:t>
      </w:r>
      <w:r>
        <w:rPr>
          <w:bCs/>
          <w:b/>
        </w:rPr>
        <w:t xml:space="preserve">Germany Frankfurt</w:t>
      </w:r>
      <w:r>
        <w:t xml:space="preserve">. It demands more than just subject matter expertise; it requires a deep commitment to social equity, cultural intelligence, and pedagogical innovation. As Frankfurt continues to grow as an international hub, its educational institutions must adapt rapidly. The success of the secondary education system depends heavily on the ability of teachers to foster inclusive environments where every student, regardless of their background, has the opportunity to thrive.</w:t>
      </w:r>
    </w:p>
    <w:p>
      <w:pPr>
        <w:pStyle w:val="BodyText"/>
      </w:pPr>
      <w:r>
        <w:t xml:space="preserve">This report underscores that investing in professional development for teachers—specifically focusing on intercultural competence and digital literacy—is not optional but essential. By empowering</w:t>
      </w:r>
      <w:r>
        <w:t xml:space="preserve"> </w:t>
      </w:r>
      <w:r>
        <w:rPr>
          <w:bCs/>
          <w:b/>
        </w:rPr>
        <w:t xml:space="preserve">Teacher Secondary</w:t>
      </w:r>
      <w:r>
        <w:t xml:space="preserve"> </w:t>
      </w:r>
      <w:r>
        <w:t xml:space="preserve">professionals with the right tools and support,</w:t>
      </w:r>
      <w:r>
        <w:t xml:space="preserve"> </w:t>
      </w:r>
      <w:r>
        <w:rPr>
          <w:bCs/>
          <w:b/>
        </w:rPr>
        <w:t xml:space="preserve">Germany Frankfurt</w:t>
      </w:r>
      <w:r>
        <w:t xml:space="preserve"> </w:t>
      </w:r>
      <w:r>
        <w:t xml:space="preserve">can ensure its schools remain beacons of excellence and inclusion in the heart of Europe.</w:t>
      </w:r>
    </w:p>
    <w:p>
      <w:pPr>
        <w:pStyle w:val="BodyText"/>
      </w:pPr>
      <w:r>
        <w:t xml:space="preserve">The future of education in this region lies in collaboration: between teachers, parents, policymakers, and the community. Only through a unified effort can we fully realize the potential of every secondary student preparing for a globalized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Germany Frankfurt</dc:title>
  <dc:creator/>
  <dc:language>en</dc:language>
  <cp:keywords/>
  <dcterms:created xsi:type="dcterms:W3CDTF">2026-07-29T18:02:05Z</dcterms:created>
  <dcterms:modified xsi:type="dcterms:W3CDTF">2026-07-29T18:02:05Z</dcterms:modified>
</cp:coreProperties>
</file>

<file path=docProps/custom.xml><?xml version="1.0" encoding="utf-8"?>
<Properties xmlns="http://schemas.openxmlformats.org/officeDocument/2006/custom-properties" xmlns:vt="http://schemas.openxmlformats.org/officeDocument/2006/docPropsVTypes"/>
</file>