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Germany</w:t>
      </w:r>
      <w:r>
        <w:t xml:space="preserve"> </w:t>
      </w:r>
      <w:r>
        <w:t xml:space="preserve">Munich</w:t>
      </w:r>
    </w:p>
    <w:bookmarkStart w:id="30" w:name="X7d30dbb7c4eea26fbc153974bc9684567ab36ee"/>
    <w:p>
      <w:pPr>
        <w:pStyle w:val="Heading1"/>
      </w:pPr>
      <w:r>
        <w:t xml:space="preserve">Comprehensive Book Report: Teacher Secondary</w:t>
      </w:r>
    </w:p>
    <w:p>
      <w:pPr>
        <w:pStyle w:val="FirstParagraph"/>
      </w:pPr>
      <w:r>
        <w:rPr>
          <w:bCs/>
          <w:b/>
        </w:rPr>
        <w:t xml:space="preserve">Title:</w:t>
      </w:r>
      <w:r>
        <w:t xml:space="preserve"> </w:t>
      </w:r>
      <w:r>
        <w:t xml:space="preserve">Teacher Secondary</w:t>
      </w:r>
      <w:r>
        <w:br/>
      </w:r>
      <w:r>
        <w:rPr>
          <w:bCs/>
          <w:b/>
        </w:rPr>
        <w:t xml:space="preserve">Type:</w:t>
      </w:r>
    </w:p>
    <w:p>
      <w:pPr>
        <w:pStyle w:val="BodyText"/>
      </w:pPr>
      <w:r>
        <w:t xml:space="preserve">Date: October 2023</w:t>
      </w:r>
      <w:r>
        <w:br/>
      </w:r>
      <w:r>
        <w:rPr>
          <w:iCs/>
          <w:i/>
        </w:rPr>
        <w:t xml:space="preserve">This report analyzes the pedagogical framework of "Teacher Secondary" specifically adapted for the educational landscape in Germany, Munich.</w:t>
      </w:r>
    </w:p>
    <w:bookmarkStart w:id="20" w:name="introduction"/>
    <w:p>
      <w:pPr>
        <w:pStyle w:val="Heading2"/>
      </w:pPr>
      <w:r>
        <w:t xml:space="preserve">1. Introduction</w:t>
      </w:r>
    </w:p>
    <w:p>
      <w:pPr>
        <w:pStyle w:val="FirstParagraph"/>
      </w:pPr>
      <w:r>
        <w:t xml:space="preserve">The document titled "</w:t>
      </w:r>
      <w:hyperlink w:anchor="Xa39a3ee5e6b4b0d3255bfef95601890afd80709">
        <w:r>
          <w:rPr>
            <w:rStyle w:val="Hyperlink"/>
            <w:bCs/>
            <w:b/>
          </w:rPr>
          <w:t xml:space="preserve">Teacher Secondary</w:t>
        </w:r>
      </w:hyperlink>
      <w:r>
        <w:t xml:space="preserve">" serves as a critical cornerstone for understanding modern pedagogical strategies at the secondary education level. However, to make this resource truly effective, it must be contextualized within specific regional frameworks. This book report focuses on adapting the core principles of</w:t>
      </w:r>
      <w:r>
        <w:t xml:space="preserve"> </w:t>
      </w:r>
      <w:r>
        <w:rPr>
          <w:iCs/>
          <w:i/>
        </w:rPr>
        <w:t xml:space="preserve">Teacher Secondary</w:t>
      </w:r>
      <w:r>
        <w:t xml:space="preserve"> </w:t>
      </w:r>
      <w:r>
        <w:t xml:space="preserve">for implementation in</w:t>
      </w:r>
      <w:r>
        <w:t xml:space="preserve"> </w:t>
      </w:r>
      <w:r>
        <w:rPr>
          <w:bCs/>
          <w:b/>
        </w:rPr>
        <w:t xml:space="preserve">Germany Munich</w:t>
      </w:r>
      <w:r>
        <w:t xml:space="preserve">. As one of Germany's most dynamic metropolitan areas with a diverse student population and high academic standards, Munich presents unique challenges and opportunities that require a nuanced approach to secondary education. This report argues that while the foundational theories in "Teacher Secondary" are robust, their application in</w:t>
      </w:r>
      <w:r>
        <w:t xml:space="preserve"> </w:t>
      </w:r>
      <w:r>
        <w:rPr>
          <w:bCs/>
          <w:b/>
        </w:rPr>
        <w:t xml:space="preserve">Germany Munich</w:t>
      </w:r>
      <w:r>
        <w:t xml:space="preserve"> </w:t>
      </w:r>
      <w:r>
        <w:t xml:space="preserve">requires significant cultural and structural adaptation.</w:t>
      </w:r>
    </w:p>
    <w:bookmarkEnd w:id="20"/>
    <w:bookmarkStart w:id="21" w:name="X461ced84ed7695a84b47e80e657ea4343dcab7a"/>
    <w:p>
      <w:pPr>
        <w:pStyle w:val="Heading2"/>
      </w:pPr>
      <w:r>
        <w:t xml:space="preserve">2. Overview of the "Teacher Secondary" Framework</w:t>
      </w:r>
    </w:p>
    <w:p>
      <w:pPr>
        <w:pStyle w:val="FirstParagraph"/>
      </w:pPr>
      <w:r>
        <w:t xml:space="preserve">The text "</w:t>
      </w:r>
      <w:hyperlink w:anchor="Xa39a3ee5e6b4b0d3255bfef95601890afd80709">
        <w:r>
          <w:rPr>
            <w:rStyle w:val="Hyperlink"/>
            <w:bCs/>
            <w:b/>
          </w:rPr>
          <w:t xml:space="preserve">Teacher Secondary</w:t>
        </w:r>
      </w:hyperlink>
      <w:r>
        <w:t xml:space="preserve">" posits that secondary education is a transitional phase where students move from concrete operational thinking to abstract reasoning. The authors emphasize three main pillars:</w:t>
      </w:r>
    </w:p>
    <w:p>
      <w:pPr>
        <w:numPr>
          <w:ilvl w:val="0"/>
          <w:numId w:val="1001"/>
        </w:numPr>
        <w:pStyle w:val="Compact"/>
      </w:pPr>
      <w:r>
        <w:rPr>
          <w:bCs/>
          <w:b/>
        </w:rPr>
        <w:t xml:space="preserve">Critical Thinking Development:</w:t>
      </w:r>
      <w:r>
        <w:t xml:space="preserve"> </w:t>
      </w:r>
      <w:r>
        <w:t xml:space="preserve">Moving beyond rote memorization to analytical comprehension.</w:t>
      </w:r>
    </w:p>
    <w:p>
      <w:pPr>
        <w:numPr>
          <w:ilvl w:val="0"/>
          <w:numId w:val="1001"/>
        </w:numPr>
        <w:pStyle w:val="Compact"/>
      </w:pPr>
      <w:r>
        <w:rPr>
          <w:bCs/>
          <w:b/>
        </w:rPr>
        <w:t xml:space="preserve">Social-Emotional Learning (SEL):</w:t>
      </w:r>
      <w:r>
        <w:t xml:space="preserve"> </w:t>
      </w:r>
      <w:r>
        <w:t xml:space="preserve">Integrating emotional intelligence into the curriculum.</w:t>
      </w:r>
    </w:p>
    <w:p>
      <w:pPr>
        <w:numPr>
          <w:ilvl w:val="0"/>
          <w:numId w:val="1001"/>
        </w:numPr>
        <w:pStyle w:val="Compact"/>
      </w:pPr>
      <w:r>
        <w:rPr>
          <w:bCs/>
          <w:b/>
        </w:rPr>
        <w:t xml:space="preserve">Differentiated Instruction:</w:t>
      </w:r>
      <w:r>
        <w:t xml:space="preserve"> </w:t>
      </w:r>
      <w:r>
        <w:t xml:space="preserve">Tailoring teaching methods to diverse learning needs within a single classroom.</w:t>
      </w:r>
    </w:p>
    <w:p>
      <w:pPr>
        <w:pStyle w:val="FirstParagraph"/>
      </w:pPr>
      <w:r>
        <w:t xml:space="preserve">The book advocates for a student-centered approach, suggesting that teachers act as facilitators rather than mere transmitters of knowledge. This shift is crucial for preparing students not just for exams, but for the complexities of modern society.</w:t>
      </w:r>
    </w:p>
    <w:bookmarkEnd w:id="21"/>
    <w:bookmarkStart w:id="25" w:name="contextualizing-for-germany-munich"/>
    <w:p>
      <w:pPr>
        <w:pStyle w:val="Heading2"/>
      </w:pPr>
      <w:r>
        <w:t xml:space="preserve">3. Contextualizing for Germany Munich</w:t>
      </w:r>
    </w:p>
    <w:p>
      <w:pPr>
        <w:pStyle w:val="FirstParagraph"/>
      </w:pPr>
      <w:r>
        <w:t xml:space="preserve">To apply these principles in</w:t>
      </w:r>
      <w:r>
        <w:t xml:space="preserve"> </w:t>
      </w:r>
      <w:r>
        <w:rPr>
          <w:bCs/>
          <w:b/>
        </w:rPr>
        <w:t xml:space="preserve">Germany Munich</w:t>
      </w:r>
      <w:r>
        <w:t xml:space="preserve">, one must understand the local educational ecosystem. The Bavarian state education system, which governs schools in Munich, is known for its rigor and emphasis on early tracking (Gymnasium vs. Realschule vs. Hauptschule). Here are specific adaptations required:</w:t>
      </w:r>
    </w:p>
    <w:bookmarkStart w:id="22" w:name="academic-rigor-vs.-holistic-development"/>
    <w:p>
      <w:pPr>
        <w:pStyle w:val="Heading3"/>
      </w:pPr>
      <w:r>
        <w:t xml:space="preserve">3.1 Academic Rigor vs. Holistic Development</w:t>
      </w:r>
    </w:p>
    <w:p>
      <w:pPr>
        <w:pStyle w:val="FirstParagraph"/>
      </w:pPr>
      <w:r>
        <w:t xml:space="preserve">In</w:t>
      </w:r>
      <w:r>
        <w:t xml:space="preserve"> </w:t>
      </w:r>
      <w:r>
        <w:rPr>
          <w:bCs/>
          <w:b/>
        </w:rPr>
        <w:t xml:space="preserve">Germany Munich</w:t>
      </w:r>
      <w:r>
        <w:t xml:space="preserve">, the pressure to perform academically is immense, particularly in Gymnasiums preparing for the Abitur. The "Teacher Secondary" model’s emphasis on SEL must be balanced with this high-stakes environment. Teachers in Munich are encouraged to integrate mindfulness and stress-management techniques directly into subject matter, rather than treating them as extracurricular add-ons. For instance, a mathematics teacher might use real-world data from the Munich urban planning sector to teach statistics while simultaneously discussing problem-solving resilience.</w:t>
      </w:r>
    </w:p>
    <w:bookmarkEnd w:id="22"/>
    <w:bookmarkStart w:id="23" w:name="X6d4d5e570ab544ef767fb06506fb3d34dd2d696"/>
    <w:p>
      <w:pPr>
        <w:pStyle w:val="Heading3"/>
      </w:pPr>
      <w:r>
        <w:t xml:space="preserve">3.2 Diversity and Inclusion in a Cosmopolitan City</w:t>
      </w:r>
    </w:p>
    <w:p>
      <w:pPr>
        <w:pStyle w:val="FirstParagraph"/>
      </w:pPr>
      <w:r>
        <w:t xml:space="preserve">Munich is home to a significant international community and students from various migration backgrounds. The "</w:t>
      </w:r>
      <w:hyperlink w:anchor="Xa39a3ee5e6b4b0d3255bfef95601890afd80709">
        <w:r>
          <w:rPr>
            <w:rStyle w:val="Hyperlink"/>
            <w:bCs/>
            <w:b/>
          </w:rPr>
          <w:t xml:space="preserve">Teacher Secondary</w:t>
        </w:r>
      </w:hyperlink>
      <w:r>
        <w:t xml:space="preserve">" text discusses differentiated instruction, which must be adapted for the linguistic diversity found in Munich classrooms. Teachers need strategies that support German as a Second Language (DaZ) learners without isolating them from mainstream curriculum goals. This involves collaborative learning structures where peer tutoring is emphasized, fostering both language acquisition and social cohesion.</w:t>
      </w:r>
    </w:p>
    <w:bookmarkEnd w:id="23"/>
    <w:bookmarkStart w:id="24" w:name="digital-integration-in-bavarian-schools"/>
    <w:p>
      <w:pPr>
        <w:pStyle w:val="Heading3"/>
      </w:pPr>
      <w:r>
        <w:t xml:space="preserve">3.3 Digital Integration in Bavarian Schools</w:t>
      </w:r>
    </w:p>
    <w:p>
      <w:pPr>
        <w:pStyle w:val="FirstParagraph"/>
      </w:pPr>
      <w:r>
        <w:t xml:space="preserve">Bavaria has been rapidly expanding its digital infrastructure (Moodle-Server, Tablet-Klasse initiatives). The "Teacher Secondary" framework aligns well with this trend, advocating for technology as a tool for engagement rather than distraction. In Munich schools, this means leveraging local tech partnerships and utilizing digital portfolios to assess student progress holistically, moving away from purely standardized testing metrics.</w:t>
      </w:r>
    </w:p>
    <w:bookmarkEnd w:id="24"/>
    <w:bookmarkEnd w:id="25"/>
    <w:bookmarkStart w:id="26" w:name="X30ba1db17f3a52728b31b9202e75cc23a11db4b"/>
    <w:p>
      <w:pPr>
        <w:pStyle w:val="Heading2"/>
      </w:pPr>
      <w:r>
        <w:t xml:space="preserve">4. Pedagogical Strategies for Implementation</w:t>
      </w:r>
    </w:p>
    <w:p>
      <w:pPr>
        <w:pStyle w:val="FirstParagraph"/>
      </w:pPr>
      <w:r>
        <w:t xml:space="preserve">The following strategies are recommended for teachers in</w:t>
      </w:r>
      <w:r>
        <w:t xml:space="preserve"> </w:t>
      </w:r>
      <w:r>
        <w:rPr>
          <w:bCs/>
          <w:b/>
        </w:rPr>
        <w:t xml:space="preserve">Germany Munich</w:t>
      </w:r>
      <w:r>
        <w:t xml:space="preserve"> </w:t>
      </w:r>
      <w:r>
        <w:t xml:space="preserve">who wish to apply the "</w:t>
      </w:r>
      <w:hyperlink w:anchor="Xa39a3ee5e6b4b0d3255bfef95601890afd80709">
        <w:r>
          <w:rPr>
            <w:rStyle w:val="Hyperlink"/>
            <w:bCs/>
            <w:b/>
          </w:rPr>
          <w:t xml:space="preserve">Teacher Secondary</w:t>
        </w:r>
      </w:hyperlink>
      <w:r>
        <w:t xml:space="preserve">" principles:</w:t>
      </w:r>
    </w:p>
    <w:p>
      <w:pPr>
        <w:numPr>
          <w:ilvl w:val="0"/>
          <w:numId w:val="1002"/>
        </w:numPr>
        <w:pStyle w:val="Compact"/>
      </w:pPr>
      <w:r>
        <w:rPr>
          <w:bCs/>
          <w:b/>
        </w:rPr>
        <w:t xml:space="preserve">Socratic Seminars:</w:t>
      </w:r>
      <w:r>
        <w:t xml:space="preserve"> </w:t>
      </w:r>
      <w:r>
        <w:t xml:space="preserve">Use classical debate formats, popular in German humanities, to encourage critical dialogue. This aligns with the "Critical Thinking" pillar of the book.</w:t>
      </w:r>
    </w:p>
    <w:p>
      <w:pPr>
        <w:numPr>
          <w:ilvl w:val="0"/>
          <w:numId w:val="1002"/>
        </w:numPr>
        <w:pStyle w:val="Compact"/>
      </w:pPr>
      <w:r>
        <w:rPr>
          <w:bCs/>
          <w:b/>
        </w:rPr>
        <w:t xml:space="preserve">Project-Based Learning (PBL):</w:t>
      </w:r>
      <w:r>
        <w:t xml:space="preserve"> </w:t>
      </w:r>
      <w:r>
        <w:t xml:space="preserve">Collaborate with local Munich businesses and museums for real-world projects. This enhances relevance and motivation.</w:t>
      </w:r>
    </w:p>
    <w:p>
      <w:pPr>
        <w:numPr>
          <w:ilvl w:val="0"/>
          <w:numId w:val="1002"/>
        </w:numPr>
        <w:pStyle w:val="Compact"/>
      </w:pPr>
      <w:r>
        <w:rPr>
          <w:bCs/>
          <w:b/>
        </w:rPr>
        <w:t xml:space="preserve">Mentorship Programs:</w:t>
      </w:r>
      <w:r>
        <w:t xml:space="preserve"> </w:t>
      </w:r>
      <w:r>
        <w:t xml:space="preserve">Establish peer-mentorship systems to address the social-emotional needs of adolescents, particularly in high-pressure academic environments.</w:t>
      </w:r>
    </w:p>
    <w:bookmarkEnd w:id="26"/>
    <w:bookmarkStart w:id="27" w:name="challenges-and-considerations"/>
    <w:p>
      <w:pPr>
        <w:pStyle w:val="Heading2"/>
      </w:pPr>
      <w:r>
        <w:t xml:space="preserve">5. Challenges and Considerations</w:t>
      </w:r>
    </w:p>
    <w:p>
      <w:pPr>
        <w:pStyle w:val="FirstParagraph"/>
      </w:pPr>
      <w:r>
        <w:t xml:space="preserve">Implementing these changes in</w:t>
      </w:r>
      <w:r>
        <w:t xml:space="preserve"> </w:t>
      </w:r>
      <w:hyperlink w:anchor="Xa39a3ee5e6b4b0d3255bfef95601890afd80709">
        <w:r>
          <w:rPr>
            <w:rStyle w:val="Hyperlink"/>
            <w:bCs/>
            <w:b/>
          </w:rPr>
          <w:t xml:space="preserve">Germany Munich</w:t>
        </w:r>
      </w:hyperlink>
      <w:r>
        <w:t xml:space="preserve"> </w:t>
      </w:r>
      <w:r>
        <w:t xml:space="preserve">is not without obstacles. Bureaucratic hurdles, rigid curriculum frameworks set by the Bavarian Ministry of Education, and varying levels of digital literacy among staff can impede progress. Furthermore, the "Teacher Secondary" model assumes a level of teacher autonomy that may not always be present in traditional German school structures. Professional development workshops specifically designed for Munich educators are essential to bridge this gap.</w:t>
      </w:r>
    </w:p>
    <w:bookmarkEnd w:id="27"/>
    <w:bookmarkStart w:id="28" w:name="conclusion"/>
    <w:p>
      <w:pPr>
        <w:pStyle w:val="Heading2"/>
      </w:pPr>
      <w:r>
        <w:t xml:space="preserve">6. Conclusion</w:t>
      </w:r>
    </w:p>
    <w:p>
      <w:pPr>
        <w:pStyle w:val="FirstParagraph"/>
      </w:pPr>
      <w:r>
        <w:t xml:space="preserve">The "</w:t>
      </w:r>
      <w:hyperlink w:anchor="Xa39a3ee5e6b4b0d3255bfef95601890afd80709">
        <w:r>
          <w:rPr>
            <w:rStyle w:val="Hyperlink"/>
            <w:bCs/>
            <w:b/>
          </w:rPr>
          <w:t xml:space="preserve">Teacher Secondary</w:t>
        </w:r>
      </w:hyperlink>
      <w:r>
        <w:t xml:space="preserve">" book provides a vital theoretical foundation for modern education, but its true value is unlocked when localized. For educators in</w:t>
      </w:r>
      <w:r>
        <w:t xml:space="preserve"> </w:t>
      </w:r>
      <w:r>
        <w:rPr>
          <w:bCs/>
          <w:b/>
        </w:rPr>
        <w:t xml:space="preserve">Germany Munich</w:t>
      </w:r>
      <w:r>
        <w:t xml:space="preserve">, the adaptation involves balancing academic rigor with holistic development, leveraging diversity as a strength, and embracing digital innovation. By integrating these strategies, teachers can create an educational environment that not only prepares students for the Abitur but also for life in a globalized world. The intersection of "Teacher Secondary" principles with the specific cultural and structural realities of</w:t>
      </w:r>
      <w:r>
        <w:t xml:space="preserve"> </w:t>
      </w:r>
      <w:r>
        <w:rPr>
          <w:bCs/>
          <w:b/>
        </w:rPr>
        <w:t xml:space="preserve">Germany Munich</w:t>
      </w:r>
      <w:r>
        <w:t xml:space="preserve"> </w:t>
      </w:r>
      <w:r>
        <w:t xml:space="preserve">offers a promising path toward educational excellence.</w:t>
      </w:r>
    </w:p>
    <w:bookmarkEnd w:id="28"/>
    <w:bookmarkStart w:id="29" w:name="recommendations-for-further-study"/>
    <w:p>
      <w:pPr>
        <w:pStyle w:val="Heading2"/>
      </w:pPr>
      <w:r>
        <w:t xml:space="preserve">7. Recommendations for Further Study</w:t>
      </w:r>
    </w:p>
    <w:p>
      <w:pPr>
        <w:numPr>
          <w:ilvl w:val="0"/>
          <w:numId w:val="1003"/>
        </w:numPr>
        <w:pStyle w:val="Compact"/>
      </w:pPr>
      <w:r>
        <w:t xml:space="preserve">Analyze case studies from successful international schools in Munich that have successfully integrated SEL into core curricula.</w:t>
      </w:r>
    </w:p>
    <w:p>
      <w:pPr>
        <w:numPr>
          <w:ilvl w:val="0"/>
          <w:numId w:val="1003"/>
        </w:numPr>
        <w:pStyle w:val="Compact"/>
      </w:pPr>
      <w:r>
        <w:t xml:space="preserve">Compare the "Teacher Secondary" model with existing Bavarian LehrplanPlus guidelines to identify specific alignment opportunities.</w:t>
      </w:r>
    </w:p>
    <w:p>
      <w:pPr>
        <w:numPr>
          <w:ilvl w:val="0"/>
          <w:numId w:val="1003"/>
        </w:numPr>
        <w:pStyle w:val="Compact"/>
      </w:pPr>
      <w:r>
        <w:t xml:space="preserve">Evaluate the impact of digital tools on student engagement in Munich secondary schools post-pandemic.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Contextual Analysis for Germany Munich</dc:title>
  <dc:creator/>
  <dc:language>en</dc:language>
  <cp:keywords/>
  <dcterms:created xsi:type="dcterms:W3CDTF">2026-07-29T13:19:15Z</dcterms:created>
  <dcterms:modified xsi:type="dcterms:W3CDTF">2026-07-29T13:19:15Z</dcterms:modified>
</cp:coreProperties>
</file>

<file path=docProps/custom.xml><?xml version="1.0" encoding="utf-8"?>
<Properties xmlns="http://schemas.openxmlformats.org/officeDocument/2006/custom-properties" xmlns:vt="http://schemas.openxmlformats.org/officeDocument/2006/docPropsVTypes"/>
</file>