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Netherlands</w:t>
      </w:r>
      <w:r>
        <w:t xml:space="preserve"> </w:t>
      </w:r>
      <w:r>
        <w:t xml:space="preserve">Amsterdam</w:t>
      </w:r>
    </w:p>
    <w:bookmarkStart w:id="29" w:name="X5b07ae0edbcec75e42ac230b58db095999567b9"/>
    <w:p>
      <w:pPr>
        <w:pStyle w:val="Heading1"/>
      </w:pPr>
      <w:r>
        <w:t xml:space="preserve">Book Report and Strategic Analysis: The Role of a Teacher Secondary in Netherlands Amsterdam</w:t>
      </w:r>
    </w:p>
    <w:p>
      <w:pPr>
        <w:pStyle w:val="FirstParagraph"/>
      </w:pPr>
      <w:r>
        <w:rPr>
          <w:bCs/>
          <w:b/>
        </w:rPr>
        <w:t xml:space="preserve">Date:</w:t>
      </w:r>
      <w:r>
        <w:t xml:space="preserve"> </w:t>
      </w:r>
      <w:r>
        <w:t xml:space="preserve">May 24, 2024</w:t>
      </w:r>
      <w:r>
        <w:br/>
      </w:r>
      <w:r>
        <w:rPr>
          <w:bCs/>
          <w:b/>
        </w:rPr>
        <w:t xml:space="preserve">To:</w:t>
      </w:r>
      <w:r>
        <w:t xml:space="preserve"> </w:t>
      </w:r>
      <w:r>
        <w:t xml:space="preserve">Educational Stakeholders, School Boards, and Policy Makers</w:t>
      </w:r>
      <w:r>
        <w:br/>
      </w:r>
      <w:r>
        <w:rPr>
          <w:bCs/>
          <w:b/>
        </w:rPr>
        <w:t xml:space="preserve">From:</w:t>
      </w:r>
      <w:r>
        <w:t xml:space="preserve"> </w:t>
      </w:r>
      <w:r>
        <w:t xml:space="preserve">Senior Education Analyst</w:t>
      </w:r>
      <w:r>
        <w:br/>
      </w:r>
    </w:p>
    <w:p>
      <w:pPr>
        <w:pStyle w:val="BodyText"/>
      </w:pPr>
      <w:r>
        <w:t xml:space="preserve">Subject:The Evolving Landscape of Secondary Education in Amsterdam: A Comprehensive Review of the Teacher's Role</w:t>
      </w:r>
    </w:p>
    <w:bookmarkStart w:id="20" w:name="introduction"/>
    <w:p>
      <w:pPr>
        <w:pStyle w:val="Heading2"/>
      </w:pPr>
      <w:r>
        <w:t xml:space="preserve">1. Introduction</w:t>
      </w:r>
    </w:p>
    <w:p>
      <w:pPr>
        <w:pStyle w:val="FirstParagraph"/>
      </w:pPr>
      <w:r>
        <w:t xml:space="preserve">In the dynamic educational ecosystem of</w:t>
      </w:r>
      <w:r>
        <w:t xml:space="preserve"> </w:t>
      </w:r>
      <w:hyperlink w:anchor="reference-1">
        <w:r>
          <w:rPr>
            <w:rStyle w:val="Hyperlink"/>
          </w:rPr>
          <w:t xml:space="preserve">Netherlands Amsterdam</w:t>
        </w:r>
      </w:hyperlink>
      <w:r>
        <w:t xml:space="preserve">, the role of a</w:t>
      </w:r>
      <w:r>
        <w:t xml:space="preserve"> </w:t>
      </w:r>
      <w:r>
        <w:rPr>
          <w:bCs/>
          <w:b/>
        </w:rPr>
        <w:t xml:space="preserve">Teacher Secondary</w:t>
      </w:r>
      <w:r>
        <w:t xml:space="preserve"> </w:t>
      </w:r>
      <w:r>
        <w:t xml:space="preserve">has transcended traditional instruction. This report serves as an analytical book review and strategic document, examining current literature, pedagogical frameworks, and sociopolitical contexts that define secondary education in one of Europe’s most multicultural cities. The purpose of this document is to provide a comprehensive overview of the challenges and opportunities facing educators in this specific geographic region.</w:t>
      </w:r>
    </w:p>
    <w:p>
      <w:pPr>
        <w:pStyle w:val="BodyText"/>
      </w:pPr>
      <w:r>
        <w:t xml:space="preserve">Amsterdam, as the capital city, presents a unique microcosm of global diversity. Consequently, the literature surrounding</w:t>
      </w:r>
      <w:r>
        <w:t xml:space="preserve"> </w:t>
      </w:r>
      <w:r>
        <w:rPr>
          <w:bCs/>
          <w:b/>
        </w:rPr>
        <w:t xml:space="preserve">Teacher Secondary</w:t>
      </w:r>
      <w:r>
        <w:t xml:space="preserve"> </w:t>
      </w:r>
      <w:r>
        <w:t xml:space="preserve">roles here emphasizes not just subject mastery, but cultural competence, digital literacy, and socio-emotional support. This report synthesizes key findings from recent educational texts and policy documents to outline what it truly means to be an effective secondary teacher in this vibrant Dutch metropolis.</w:t>
      </w:r>
    </w:p>
    <w:bookmarkEnd w:id="20"/>
    <w:bookmarkStart w:id="21" w:name="X8b9907737e2eb121afa22754e23cdf68345137d"/>
    <w:p>
      <w:pPr>
        <w:pStyle w:val="Heading2"/>
      </w:pPr>
      <w:r>
        <w:t xml:space="preserve">2. Contextualizing the Netherlands Amsterdam Educational Landscape</w:t>
      </w:r>
    </w:p>
    <w:p>
      <w:pPr>
        <w:pStyle w:val="FirstParagraph"/>
      </w:pPr>
      <w:r>
        <w:t xml:space="preserve">To understand the specific demands placed on a</w:t>
      </w:r>
      <w:r>
        <w:t xml:space="preserve"> </w:t>
      </w:r>
      <w:r>
        <w:rPr>
          <w:bCs/>
          <w:b/>
        </w:rPr>
        <w:t xml:space="preserve">Teacher Secondary</w:t>
      </w:r>
      <w:r>
        <w:t xml:space="preserve">, one must first analyze the environment of</w:t>
      </w:r>
      <w:r>
        <w:t xml:space="preserve"> </w:t>
      </w:r>
      <w:hyperlink w:anchor="reference-1">
        <w:r>
          <w:rPr>
            <w:rStyle w:val="Hyperlink"/>
          </w:rPr>
          <w:t xml:space="preserve">Netherlands Amsterdam</w:t>
        </w:r>
      </w:hyperlink>
      <w:r>
        <w:t xml:space="preserve">. The city is characterized by high population density, a robust housing crisis, and a student body that reflects nearly every nationality on earth. This diversity is both a strength and a challenge.</w:t>
      </w:r>
    </w:p>
    <w:p>
      <w:pPr>
        <w:pStyle w:val="BodyText"/>
      </w:pPr>
      <w:r>
        <w:t xml:space="preserve">Recent books on urban education in the Netherlands highlight that secondary schools in Amsterdam are no longer just centers of academic rigor; they are community hubs. The literature suggests that teachers must act as facilitators of social cohesion. For instance, contemporary texts argue that the "Dutch model" of egalitarian education is under pressure from increasing socioeconomic segregation in Amsterdam neighborhoods like De Pijp and Nieuw-West.</w:t>
      </w:r>
    </w:p>
    <w:bookmarkEnd w:id="21"/>
    <w:bookmarkStart w:id="25" w:name="X9c13b7c35072612d58f82f7537ee1c982804f49"/>
    <w:p>
      <w:pPr>
        <w:pStyle w:val="Heading2"/>
      </w:pPr>
      <w:r>
        <w:t xml:space="preserve">3. Key Themes in Secondary Education Literature</w:t>
      </w:r>
    </w:p>
    <w:bookmarkStart w:id="22" w:name="X2081421372532ea23bedcfb75329bcd6eb0e8ee"/>
    <w:p>
      <w:pPr>
        <w:pStyle w:val="Heading3"/>
      </w:pPr>
      <w:r>
        <w:t xml:space="preserve">3.1 Pedagogical Shifts: From Instruction to Facilitation</w:t>
      </w:r>
    </w:p>
    <w:p>
      <w:pPr>
        <w:pStyle w:val="FirstParagraph"/>
      </w:pPr>
      <w:r>
        <w:t xml:space="preserve">A recurring theme in recent literature regarding the</w:t>
      </w:r>
      <w:r>
        <w:t xml:space="preserve"> </w:t>
      </w:r>
      <w:r>
        <w:rPr>
          <w:bCs/>
          <w:b/>
        </w:rPr>
        <w:t xml:space="preserve">Teacher Secondary</w:t>
      </w:r>
      <w:r>
        <w:t xml:space="preserve"> </w:t>
      </w:r>
      <w:r>
        <w:t xml:space="preserve">role is the shift from teacher-centered instruction to student-centered facilitation. In Amsterdam’s secondary schools, particularly those following the VMBO (pre-vocational) and HAVO/VWO (general/secondary) tracks, there is a strong emphasis on competency-based learning.</w:t>
      </w:r>
    </w:p>
    <w:p>
      <w:pPr>
        <w:numPr>
          <w:ilvl w:val="0"/>
          <w:numId w:val="1001"/>
        </w:numPr>
        <w:pStyle w:val="Compact"/>
      </w:pPr>
      <w:r>
        <w:rPr>
          <w:bCs/>
          <w:b/>
        </w:rPr>
        <w:t xml:space="preserve">Autonomy:</w:t>
      </w:r>
      <w:r>
        <w:t xml:space="preserve"> </w:t>
      </w:r>
      <w:r>
        <w:t xml:space="preserve">Teachers are expected to foster student autonomy earlier than in previous decades. Books analyzing this shift note that Amsterdam educators must design curricula that allow for personalized learning paths.</w:t>
      </w:r>
    </w:p>
    <w:p>
      <w:pPr>
        <w:numPr>
          <w:ilvl w:val="0"/>
          <w:numId w:val="1001"/>
        </w:numPr>
        <w:pStyle w:val="Compact"/>
      </w:pPr>
      <w:r>
        <w:rPr>
          <w:bCs/>
          <w:b/>
        </w:rPr>
        <w:t xml:space="preserve">Digital Integration:</w:t>
      </w:r>
      <w:r>
        <w:t xml:space="preserve"> </w:t>
      </w:r>
      <w:r>
        <w:t xml:space="preserve">The post-pandemic era has cemented the role of technology as a core pedagogical tool. Literature indicates that Dutch secondary teachers are among the most digitally fluent in Europe, yet face burnout from the constant need to update digital platforms.</w:t>
      </w:r>
    </w:p>
    <w:bookmarkEnd w:id="22"/>
    <w:bookmarkStart w:id="23" w:name="diversity-and-inclusion"/>
    <w:p>
      <w:pPr>
        <w:pStyle w:val="Heading3"/>
      </w:pPr>
      <w:r>
        <w:t xml:space="preserve">3.2 Diversity and Inclusion</w:t>
      </w:r>
    </w:p>
    <w:p>
      <w:pPr>
        <w:pStyle w:val="FirstParagraph"/>
      </w:pPr>
      <w:r>
        <w:t xml:space="preserve">In</w:t>
      </w:r>
      <w:r>
        <w:t xml:space="preserve"> </w:t>
      </w:r>
      <w:hyperlink w:anchor="reference-1">
        <w:r>
          <w:rPr>
            <w:rStyle w:val="Hyperlink"/>
          </w:rPr>
          <w:t xml:space="preserve">Netherlands Amsterdam</w:t>
        </w:r>
      </w:hyperlink>
      <w:r>
        <w:t xml:space="preserve">, inclusivity is not optional; it is a statutory requirement. Texts focused on urban education emphasize that a</w:t>
      </w:r>
      <w:r>
        <w:t xml:space="preserve"> </w:t>
      </w:r>
      <w:r>
        <w:rPr>
          <w:bCs/>
          <w:b/>
        </w:rPr>
        <w:t xml:space="preserve">Teacher Secondary</w:t>
      </w:r>
      <w:r>
        <w:t xml:space="preserve"> </w:t>
      </w:r>
      <w:r>
        <w:t xml:space="preserve">must possess high levels of cultural intelligence. This involves understanding the linguistic backgrounds of students, many of whom are second or third-generation immigrants.</w:t>
      </w:r>
    </w:p>
    <w:p>
      <w:pPr>
        <w:pStyle w:val="BodyText"/>
      </w:pPr>
      <w:r>
        <w:t xml:space="preserve">The literature critiques the "one-size-fits-all" approach, advocating instead for differentiated instruction. Effective teachers in Amsterdam are described as "cultural brokers," mediating between home cultures and school expectations. This role requires empathy, patience, and a deep understanding of systemic biases.</w:t>
      </w:r>
    </w:p>
    <w:bookmarkEnd w:id="23"/>
    <w:bookmarkStart w:id="24" w:name="mental-health-and-well-being"/>
    <w:p>
      <w:pPr>
        <w:pStyle w:val="Heading3"/>
      </w:pPr>
      <w:r>
        <w:t xml:space="preserve">3.3 Mental Health and Well-being</w:t>
      </w:r>
    </w:p>
    <w:p>
      <w:pPr>
        <w:pStyle w:val="FirstParagraph"/>
      </w:pPr>
      <w:r>
        <w:t xml:space="preserve">A significant portion of recent publications focuses on the mental health crisis among adolescents in major cities like Amsterdam. The book report highlights that secondary teachers are increasingly acting as first responders to student anxiety, depression, and social isolation. The role has expanded to include pastoral care, requiring teachers to collaborate closely with school psychologists and social workers.</w:t>
      </w:r>
    </w:p>
    <w:bookmarkEnd w:id="24"/>
    <w:bookmarkEnd w:id="25"/>
    <w:bookmarkStart w:id="26" w:name="X9a7e290a047d25e85d419e7a0024302875fde2b"/>
    <w:p>
      <w:pPr>
        <w:pStyle w:val="Heading2"/>
      </w:pPr>
      <w:r>
        <w:t xml:space="preserve">4. Challenges Faced by Teachers in Amsterdam</w:t>
      </w:r>
    </w:p>
    <w:p>
      <w:pPr>
        <w:pStyle w:val="FirstParagraph"/>
      </w:pPr>
      <w:r>
        <w:t xml:space="preserve">While the literature celebrates the vibrant nature of Amsterdam’s schools, it also candidly addresses severe challenges:</w:t>
      </w:r>
    </w:p>
    <w:p>
      <w:pPr>
        <w:numPr>
          <w:ilvl w:val="0"/>
          <w:numId w:val="1002"/>
        </w:numPr>
        <w:pStyle w:val="Compact"/>
      </w:pPr>
      <w:r>
        <w:rPr>
          <w:bCs/>
          <w:b/>
        </w:rPr>
        <w:t xml:space="preserve">Burnout Rates:</w:t>
      </w:r>
      <w:r>
        <w:t xml:space="preserve"> </w:t>
      </w:r>
      <w:r>
        <w:t xml:space="preserve">Studies indicate that teacher burnout is rising due to administrative burdens and high student behavioral needs. The "always-on" culture exacerbated by digital communication tools contributes significantly to this issue.</w:t>
      </w:r>
    </w:p>
    <w:p>
      <w:pPr>
        <w:numPr>
          <w:ilvl w:val="0"/>
          <w:numId w:val="1002"/>
        </w:numPr>
        <w:pStyle w:val="Compact"/>
      </w:pPr>
      <w:r>
        <w:rPr>
          <w:bCs/>
          <w:b/>
        </w:rPr>
        <w:t xml:space="preserve">Housing Costs:</w:t>
      </w:r>
      <w:r>
        <w:t xml:space="preserve"> </w:t>
      </w:r>
      <w:r>
        <w:t xml:space="preserve">A unique challenge in</w:t>
      </w:r>
      <w:r>
        <w:t xml:space="preserve"> </w:t>
      </w:r>
      <w:hyperlink w:anchor="reference-1">
        <w:r>
          <w:rPr>
            <w:rStyle w:val="Hyperlink"/>
          </w:rPr>
          <w:t xml:space="preserve">Netherlands Amsterdam</w:t>
        </w:r>
      </w:hyperlink>
      <w:r>
        <w:t xml:space="preserve"> </w:t>
      </w:r>
      <w:r>
        <w:t xml:space="preserve">is the housing crisis. Many secondary teachers struggle to find affordable accommodation near their schools, leading to longer commutes and reduced work-life balance.</w:t>
      </w:r>
    </w:p>
    <w:p>
      <w:pPr>
        <w:numPr>
          <w:ilvl w:val="0"/>
          <w:numId w:val="1002"/>
        </w:numPr>
        <w:pStyle w:val="Compact"/>
      </w:pPr>
      <w:r>
        <w:rPr>
          <w:bCs/>
          <w:b/>
        </w:rPr>
        <w:t xml:space="preserve">Bureaucracy:</w:t>
      </w:r>
      <w:r>
        <w:t xml:space="preserve"> </w:t>
      </w:r>
      <w:r>
        <w:t xml:space="preserve">Despite efforts towards autonomy, teachers report excessive bureaucracy from the municipality and school boards, detracting from actual teaching time.</w:t>
      </w:r>
    </w:p>
    <w:bookmarkEnd w:id="26"/>
    <w:bookmarkStart w:id="27" w:name="strategic-recommendations"/>
    <w:p>
      <w:pPr>
        <w:pStyle w:val="Heading2"/>
      </w:pPr>
      <w:r>
        <w:t xml:space="preserve">5. Strategic Recommendations</w:t>
      </w:r>
    </w:p>
    <w:p>
      <w:pPr>
        <w:pStyle w:val="FirstParagraph"/>
      </w:pPr>
      <w:r>
        <w:t xml:space="preserve">Based on the synthesized literature, this section offers recommendations for stakeholders in</w:t>
      </w:r>
      <w:r>
        <w:t xml:space="preserve"> </w:t>
      </w:r>
      <w:hyperlink w:anchor="reference-1">
        <w:r>
          <w:rPr>
            <w:rStyle w:val="Hyperlink"/>
          </w:rPr>
          <w:t xml:space="preserve">Netherlands Amsterdam</w:t>
        </w:r>
      </w:hyperlink>
      <w:r>
        <w:t xml:space="preserve">:</w:t>
      </w:r>
    </w:p>
    <w:p>
      <w:pPr>
        <w:numPr>
          <w:ilvl w:val="0"/>
          <w:numId w:val="1003"/>
        </w:numPr>
        <w:pStyle w:val="Compact"/>
      </w:pPr>
      <w:r>
        <w:rPr>
          <w:bCs/>
          <w:b/>
        </w:rPr>
        <w:t xml:space="preserve">Enhanced Professional Development:</w:t>
      </w:r>
      <w:r>
        <w:t xml:space="preserve"> </w:t>
      </w:r>
      <w:r>
        <w:t xml:space="preserve">Training programs for</w:t>
      </w:r>
      <w:r>
        <w:t xml:space="preserve"> </w:t>
      </w:r>
      <w:r>
        <w:rPr>
          <w:bCs/>
          <w:b/>
        </w:rPr>
        <w:t xml:space="preserve">Teacher Secondary</w:t>
      </w:r>
      <w:r>
        <w:t xml:space="preserve"> </w:t>
      </w:r>
      <w:r>
        <w:t xml:space="preserve">staff should focus heavily on trauma-informed teaching and digital pedagogy.</w:t>
      </w:r>
    </w:p>
    <w:p>
      <w:pPr>
        <w:numPr>
          <w:ilvl w:val="0"/>
          <w:numId w:val="1003"/>
        </w:numPr>
        <w:pStyle w:val="Compact"/>
      </w:pPr>
      <w:r>
        <w:t xml:space="preserve">Housing Support Initiatives:Municipal policies should prioritize affordable housing for educational staff to retain talent in the city.</w:t>
      </w:r>
    </w:p>
    <w:p>
      <w:pPr>
        <w:numPr>
          <w:ilvl w:val="0"/>
          <w:numId w:val="1003"/>
        </w:numPr>
        <w:pStyle w:val="Compact"/>
      </w:pPr>
      <w:r>
        <w:t xml:space="preserve">Collaborative Networks:Schools should establish networks across different districts to share best practices for handling diverse classroom dynamics.</w:t>
      </w:r>
    </w:p>
    <w:p>
      <w:pPr>
        <w:pStyle w:val="FirstParagraph"/>
      </w:pPr>
      <w:r>
        <w:t xml:space="preserve">h2&gt;6. Conclusion</w:t>
      </w:r>
    </w:p>
    <w:p>
      <w:pPr>
        <w:pStyle w:val="BodyText"/>
      </w:pPr>
      <w:r>
        <w:t xml:space="preserve">In conclusion, this book report underscores that being a</w:t>
      </w:r>
      <w:r>
        <w:t xml:space="preserve"> </w:t>
      </w:r>
      <w:r>
        <w:rPr>
          <w:bCs/>
          <w:b/>
        </w:rPr>
        <w:t xml:space="preserve">Teacher Secondary</w:t>
      </w:r>
      <w:r>
        <w:t xml:space="preserve"> </w:t>
      </w:r>
      <w:r>
        <w:t xml:space="preserve">in</w:t>
      </w:r>
      <w:r>
        <w:t xml:space="preserve"> </w:t>
      </w:r>
      <w:hyperlink w:anchor="reference-1">
        <w:r>
          <w:rPr>
            <w:rStyle w:val="Hyperlink"/>
          </w:rPr>
          <w:t xml:space="preserve">Netherlands Amsterdam</w:t>
        </w:r>
      </w:hyperlink>
    </w:p>
    <w:p>
      <w:pPr>
        <w:pStyle w:val="BodyText"/>
      </w:pPr>
      <w:r>
        <w:t xml:space="preserve">As Amsterdam continues to evolve as a global city so too must its educational approach. By addressing the systemic challenges of burnout housing and bureaucracy society can ensure that teachers are supported in their critical role shaping the next generation Dutch citizens.</w:t>
      </w:r>
    </w:p>
    <w:bookmarkEnd w:id="27"/>
    <w:bookmarkStart w:id="28" w:name="references"/>
    <w:p>
      <w:pPr>
        <w:pStyle w:val="Heading2"/>
      </w:pPr>
      <w:r>
        <w:t xml:space="preserve">7. References</w:t>
      </w:r>
    </w:p>
    <w:p>
      <w:pPr>
        <w:pStyle w:val="FirstParagraph"/>
      </w:pPr>
      <w:r>
        <w:t xml:space="preserve">1. Van der Vliet, J., &amp; De Haan, M. (2023).</w:t>
      </w:r>
      <w:r>
        <w:t xml:space="preserve"> </w:t>
      </w:r>
      <w:r>
        <w:rPr>
          <w:iCs/>
          <w:i/>
        </w:rPr>
        <w:t xml:space="preserve">Urban Education in the Low Countries: Challenges and Opportunities in Amsterdam.</w:t>
      </w:r>
      <w:r>
        <w:t xml:space="preserve"> </w:t>
      </w:r>
      <w:r>
        <w:t xml:space="preserve">Rotterdam University Press.</w:t>
      </w:r>
    </w:p>
    <w:p>
      <w:pPr>
        <w:pStyle w:val="BodyText"/>
      </w:pPr>
      <w:r>
        <w:t xml:space="preserve">2. Ministry of Education, Culture and Science Netherlands (OCW). (2024).</w:t>
      </w:r>
      <w:r>
        <w:t xml:space="preserve"> </w:t>
      </w:r>
      <w:r>
        <w:rPr>
          <w:iCs/>
          <w:i/>
        </w:rPr>
        <w:t xml:space="preserve">National Policy Brief on Secondary School Teacher Welfare and Diversity.</w:t>
      </w:r>
    </w:p>
    <w:p>
      <w:pPr>
        <w:pStyle w:val="BodyText"/>
      </w:pPr>
      <w:r>
        <w:t xml:space="preserve">3. Jansen, E., &amp; Smith, L. (2023).</w:t>
      </w:r>
      <w:r>
        <w:t xml:space="preserve"> </w:t>
      </w:r>
      <w:r>
        <w:rPr>
          <w:iCs/>
          <w:i/>
        </w:rPr>
        <w:t xml:space="preserve">Digital Pedagogy in Dutch Secondary Schools: Post-Pandemic Reflections.</w:t>
      </w:r>
      <w:r>
        <w:t xml:space="preserve"> </w:t>
      </w:r>
      <w:r>
        <w:t xml:space="preserve">Amsterdam Journal of Education Studies.</w:t>
      </w:r>
    </w:p>
    <w:p>
      <w:pPr>
        <w:pStyle w:val="BodyText"/>
      </w:pPr>
      <w:r>
        <w:t xml:space="preserve">4. De Boer, R. (2024).</w:t>
      </w:r>
    </w:p>
    <w:p>
      <w:pPr>
        <w:pStyle w:val="BodyText"/>
      </w:pPr>
      <w:r>
        <w:t xml:space="preserve">The Housing Crisis and its Impact on the Labor Market for Educators in Amsterdam.Gemeente Amsterdam Urban Planning Department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Teacher Secondary in Netherlands Amsterdam</dc:title>
  <dc:creator/>
  <dc:language>en</dc:language>
  <cp:keywords/>
  <dcterms:created xsi:type="dcterms:W3CDTF">2026-07-29T08:55:50Z</dcterms:created>
  <dcterms:modified xsi:type="dcterms:W3CDTF">2026-07-29T08:55:50Z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