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Teacher</w:t>
      </w:r>
      <w:r>
        <w:t xml:space="preserve"> </w:t>
      </w:r>
      <w:r>
        <w:t xml:space="preserve">Secondary</w:t>
      </w:r>
      <w:r>
        <w:t xml:space="preserve"> </w:t>
      </w:r>
      <w:r>
        <w:t xml:space="preserve">-</w:t>
      </w:r>
      <w:r>
        <w:t xml:space="preserve"> </w:t>
      </w:r>
      <w:r>
        <w:t xml:space="preserve">A</w:t>
      </w:r>
      <w:r>
        <w:t xml:space="preserve"> </w:t>
      </w:r>
      <w:r>
        <w:t xml:space="preserve">Critical</w:t>
      </w:r>
      <w:r>
        <w:t xml:space="preserve"> </w:t>
      </w:r>
      <w:r>
        <w:t xml:space="preserve">Analysis</w:t>
      </w:r>
      <w:r>
        <w:t xml:space="preserve"> </w:t>
      </w:r>
      <w:r>
        <w:t xml:space="preserve">for</w:t>
      </w:r>
      <w:r>
        <w:t xml:space="preserve"> </w:t>
      </w:r>
      <w:r>
        <w:t xml:space="preserve">the</w:t>
      </w:r>
      <w:r>
        <w:t xml:space="preserve"> </w:t>
      </w:r>
      <w:r>
        <w:t xml:space="preserve">Thai</w:t>
      </w:r>
      <w:r>
        <w:t xml:space="preserve"> </w:t>
      </w:r>
      <w:r>
        <w:t xml:space="preserve">Context</w:t>
      </w:r>
    </w:p>
    <w:bookmarkStart w:id="28" w:name="book-report-teacher-secondary"/>
    <w:p>
      <w:pPr>
        <w:pStyle w:val="Heading1"/>
      </w:pPr>
      <w:r>
        <w:t xml:space="preserve">Book Report: Teacher Secondary</w:t>
      </w:r>
    </w:p>
    <w:p>
      <w:pPr>
        <w:pStyle w:val="FirstParagraph"/>
      </w:pPr>
      <w:r>
        <w:rPr>
          <w:bCs/>
          <w:b/>
        </w:rPr>
        <w:t xml:space="preserve">Title:</w:t>
      </w:r>
      <w:r>
        <w:t xml:space="preserve"> </w:t>
      </w:r>
      <w:r>
        <w:t xml:space="preserve">Teacher Secondary: Pedagogy, Policy, and Practice in the Modern Era</w:t>
      </w:r>
      <w:r>
        <w:br/>
      </w:r>
      <w:r>
        <w:rPr>
          <w:bCs/>
          <w:b/>
        </w:rPr>
        <w:t xml:space="preserve">Date of Analysis:</w:t>
      </w:r>
      <w:r>
        <w:t xml:space="preserve"> </w:t>
      </w:r>
      <w:r>
        <w:t xml:space="preserve">October 26, 2023</w:t>
      </w:r>
      <w:r>
        <w:br/>
      </w:r>
      <w:r>
        <w:rPr>
          <w:bCs/>
          <w:b/>
        </w:rPr>
        <w:t xml:space="preserve">Purpose:</w:t>
      </w:r>
      <w:r>
        <w:t xml:space="preserve"> </w:t>
      </w:r>
      <w:r>
        <w:t xml:space="preserve">A Comprehensive Review for Educational Stakeholders in Thailand Bangkok</w:t>
      </w:r>
    </w:p>
    <w:bookmarkStart w:id="20" w:name="introduction"/>
    <w:p>
      <w:pPr>
        <w:pStyle w:val="Heading2"/>
      </w:pPr>
      <w:r>
        <w:t xml:space="preserve">1. Introduction</w:t>
      </w:r>
    </w:p>
    <w:p>
      <w:pPr>
        <w:pStyle w:val="FirstParagraph"/>
      </w:pPr>
      <w:r>
        <w:t xml:space="preserve">In the rapidly evolving landscape of global education, the role of the secondary school teacher has undergone significant transformation. The text "</w:t>
      </w:r>
      <w:r>
        <w:rPr>
          <w:iCs/>
          <w:i/>
        </w:rPr>
        <w:t xml:space="preserve">Teacher Secondary</w:t>
      </w:r>
      <w:r>
        <w:t xml:space="preserve">" serves as a pivotal exploration into these dynamics, examining how educators navigate complex pedagogical challenges, policy shifts, and cultural expectations. While this comprehensive study is grounded in international educational theory and diverse classroom environments, its relevance extends deeply into the specific context of</w:t>
      </w:r>
      <w:r>
        <w:t xml:space="preserve"> </w:t>
      </w:r>
      <w:r>
        <w:rPr>
          <w:bCs/>
          <w:b/>
        </w:rPr>
        <w:t xml:space="preserve">Thailand Bangkok</w:t>
      </w:r>
      <w:r>
        <w:t xml:space="preserve">. This report aims to dissect the key arguments presented in the book and evaluate their applicability to secondary education within one of Asia’s most vibrant urban centers.</w:t>
      </w:r>
    </w:p>
    <w:p>
      <w:pPr>
        <w:pStyle w:val="BodyText"/>
      </w:pPr>
      <w:r>
        <w:t xml:space="preserve">Bangkok, as the capital and educational hub of Thailand, presents a unique microcosm of Southeast Asian development. Here, traditional Confucian-inspired respect for authority clashes with modern demands for student-centered learning and critical thinking. This report argues that the insights provided in "</w:t>
      </w:r>
    </w:p>
    <w:p>
      <w:pPr>
        <w:pStyle w:val="BodyText"/>
      </w:pPr>
      <w:r>
        <w:t xml:space="preserve">Teacher Secondary</w:t>
      </w:r>
      <w:r>
        <w:t xml:space="preserve">" are not merely theoretical abstractions but essential tools for educators working within the</w:t>
      </w:r>
      <w:r>
        <w:t xml:space="preserve"> </w:t>
      </w:r>
      <w:r>
        <w:rPr>
          <w:bCs/>
          <w:b/>
        </w:rPr>
        <w:t xml:space="preserve">Thailand Bangkok</w:t>
      </w:r>
      <w:r>
        <w:t xml:space="preserve"> </w:t>
      </w:r>
      <w:r>
        <w:t xml:space="preserve">system, particularly those striving to bridge the gap between legacy practices and future-oriented competencies.</w:t>
      </w:r>
    </w:p>
    <w:bookmarkEnd w:id="20"/>
    <w:bookmarkStart w:id="21" w:name="X342f21412eb7d4f73f23519403234a31270f91e"/>
    <w:p>
      <w:pPr>
        <w:pStyle w:val="Heading2"/>
      </w:pPr>
      <w:r>
        <w:t xml:space="preserve">2. Summary of Key Themes in Teacher Secondary</w:t>
      </w:r>
    </w:p>
    <w:p>
      <w:pPr>
        <w:pStyle w:val="FirstParagraph"/>
      </w:pPr>
      <w:r>
        <w:t xml:space="preserve">The book is structured around three core pillars that define the contemporary secondary teaching experience:</w:t>
      </w:r>
    </w:p>
    <w:p>
      <w:pPr>
        <w:numPr>
          <w:ilvl w:val="0"/>
          <w:numId w:val="1001"/>
        </w:numPr>
        <w:pStyle w:val="Compact"/>
      </w:pPr>
      <w:r>
        <w:rPr>
          <w:bCs/>
          <w:b/>
        </w:rPr>
        <w:t xml:space="preserve">Pedagogical Adaptability:</w:t>
      </w:r>
      <w:r>
        <w:t xml:space="preserve"> The text argues that effective secondary teachers must move beyond rote memorization techniques. It emphasizes the need for differentiated instruction, where educators tailor their methods to accommodate diverse learning styles, from visual learners to kinesthetic participants.</w:t>
      </w:r>
    </w:p>
    <w:p>
      <w:pPr>
        <w:numPr>
          <w:ilvl w:val="0"/>
          <w:numId w:val="1001"/>
        </w:numPr>
        <w:pStyle w:val="Compact"/>
      </w:pPr>
      <w:r>
        <w:rPr>
          <w:bCs/>
          <w:b/>
        </w:rPr>
        <w:t xml:space="preserve">Ethical Leadership and Mentorship:</w:t>
      </w:r>
      <w:r>
        <w:t xml:space="preserve"> A significant portion of the book is dedicated to the moral dimension of teaching. It posits that secondary teachers are not just instructors but mentors who shape the ethical frameworks of adolescents during a critical developmental stage.</w:t>
      </w:r>
    </w:p>
    <w:p>
      <w:pPr>
        <w:numPr>
          <w:ilvl w:val="0"/>
          <w:numId w:val="1001"/>
        </w:numPr>
        <w:pStyle w:val="Compact"/>
      </w:pPr>
      <w:r>
        <w:rPr>
          <w:bCs/>
          <w:b/>
        </w:rPr>
        <w:t xml:space="preserve">Navigating Bureaucracy:</w:t>
      </w:r>
      <w:r>
        <w:t xml:space="preserve"> </w:t>
      </w:r>
      <w:r>
        <w:t xml:space="preserve">Teacher Secondary</w:t>
      </w:r>
      <w:r>
        <w:t xml:space="preserve"> </w:t>
      </w:r>
      <w:r>
        <w:t xml:space="preserve">does not shy away from the administrative burdens faced by educators. It provides strategies for managing paperwork, standardized testing pressures, and institutional politics without compromising pedagogical integrity.</w:t>
      </w:r>
    </w:p>
    <w:p>
      <w:pPr>
        <w:pStyle w:val="FirstParagraph"/>
      </w:pPr>
      <w:r>
        <w:t xml:space="preserve">The author suggests that successful teaching in the secondary sector requires a hybrid identity: part academic expert, part psychologist, and part administrator. This multifaceted view is crucial for understanding the stressors inherent in modern classrooms.</w:t>
      </w:r>
    </w:p>
    <w:bookmarkEnd w:id="21"/>
    <w:bookmarkStart w:id="25" w:name="Xab7f960ba3f7eae74c2643b38548b1ba8fc9266"/>
    <w:p>
      <w:pPr>
        <w:pStyle w:val="Heading2"/>
      </w:pPr>
      <w:r>
        <w:t xml:space="preserve">3. Contextual Analysis: Applicability to Thailand Bangkok</w:t>
      </w:r>
    </w:p>
    <w:p>
      <w:pPr>
        <w:pStyle w:val="FirstParagraph"/>
      </w:pPr>
      <w:r>
        <w:t xml:space="preserve">To truly value this report, one must apply these general principles to the specific socio-cultural fabric of</w:t>
      </w:r>
      <w:r>
        <w:t xml:space="preserve"> </w:t>
      </w:r>
      <w:r>
        <w:rPr>
          <w:bCs/>
          <w:b/>
        </w:rPr>
        <w:t xml:space="preserve">Thailand Bangkok</w:t>
      </w:r>
      <w:r>
        <w:t xml:space="preserve">. The educational environment in Bangkok is characterized by high population density, intense competition for university placement, and a growing digital divide between urban private schools and under-resourced public institutions.</w:t>
      </w:r>
    </w:p>
    <w:bookmarkStart w:id="22" w:name="cultural-respect-vs.-critical-thinking"/>
    <w:p>
      <w:pPr>
        <w:pStyle w:val="Heading3"/>
      </w:pPr>
      <w:r>
        <w:t xml:space="preserve">3.1 Cultural Respect vs. Critical Thinking</w:t>
      </w:r>
    </w:p>
    <w:p>
      <w:pPr>
        <w:pStyle w:val="FirstParagraph"/>
      </w:pPr>
      <w:r>
        <w:t xml:space="preserve">In Thailand, the concept of "kreng jai" (consideration or deference) deeply influences classroom dynamics. Students are often reluctant to challenge teachers openly due to hierarchical norms. However, "</w:t>
      </w:r>
      <w:r>
        <w:rPr>
          <w:iCs/>
          <w:i/>
        </w:rPr>
        <w:t xml:space="preserve">Teacher Secondary</w:t>
      </w:r>
      <w:r>
        <w:t xml:space="preserve">" advocates for a classroom culture where questioning is encouraged as a pathway to deeper understanding. For educators in</w:t>
      </w:r>
      <w:r>
        <w:t xml:space="preserve"> </w:t>
      </w:r>
      <w:r>
        <w:rPr>
          <w:bCs/>
          <w:b/>
        </w:rPr>
        <w:t xml:space="preserve">Thailand Bangkok</w:t>
      </w:r>
      <w:r>
        <w:t xml:space="preserve">, this presents a delicate balancing act. The book offers frameworks for creating "safe spaces" for dissent and inquiry, allowing Bangkok-based teachers to foster critical thinking without violating cultural norms of respect. By gradually introducing Socratic seminars and collaborative debates, teachers can shift the classroom paradigm from passive reception to active engagement.</w:t>
      </w:r>
    </w:p>
    <w:bookmarkEnd w:id="22"/>
    <w:bookmarkStart w:id="23" w:name="addressing-the-digital-divide"/>
    <w:p>
      <w:pPr>
        <w:pStyle w:val="Heading3"/>
      </w:pPr>
      <w:r>
        <w:t xml:space="preserve">3.2 Addressing the Digital Divide</w:t>
      </w:r>
    </w:p>
    <w:p>
      <w:pPr>
        <w:pStyle w:val="FirstParagraph"/>
      </w:pPr>
      <w:r>
        <w:t xml:space="preserve">Bangkok is a tech-forward city with widespread smartphone penetration, yet digital literacy varies significantly among students. The section on "Pedagogical Adaptability" in the book highlights the use of technology not as a replacement for teachers but as an amplifier of learning. In</w:t>
      </w:r>
      <w:r>
        <w:t xml:space="preserve"> </w:t>
      </w:r>
      <w:r>
        <w:rPr>
          <w:bCs/>
          <w:b/>
        </w:rPr>
        <w:t xml:space="preserve">Thailand Bangkok</w:t>
      </w:r>
      <w:r>
        <w:t xml:space="preserve">, this is particularly relevant given the post-pandemic shift toward hybrid learning models. The book provides actionable strategies for integrating digital tools into lesson plans effectively, ensuring that teachers can leverage online resources to supplement textbooks, thereby addressing the limitations of outdated curricula common in some public schools.</w:t>
      </w:r>
    </w:p>
    <w:bookmarkEnd w:id="23"/>
    <w:bookmarkStart w:id="24" w:name="Xb781ae82f3db7dea3dbef4dbb4ca0f93bc38c3c"/>
    <w:p>
      <w:pPr>
        <w:pStyle w:val="Heading3"/>
      </w:pPr>
      <w:r>
        <w:t xml:space="preserve">3.3 Teacher Well-being and Bureaucratic Navigation</w:t>
      </w:r>
    </w:p>
    <w:p>
      <w:pPr>
        <w:pStyle w:val="FirstParagraph"/>
      </w:pPr>
      <w:r>
        <w:t xml:space="preserve">Burnout is a prevalent issue among secondary teachers globally, but it is exacerbated in high-pressure environments like those in</w:t>
      </w:r>
      <w:r>
        <w:t xml:space="preserve"> </w:t>
      </w:r>
      <w:r>
        <w:rPr>
          <w:bCs/>
          <w:b/>
        </w:rPr>
        <w:t xml:space="preserve">Thailand Bangkok</w:t>
      </w:r>
      <w:r>
        <w:t xml:space="preserve">. The pressure to produce high O-NET (Ordinary National Educational Test) scores can lead to excessive workloads. "</w:t>
      </w:r>
      <w:r>
        <w:rPr>
          <w:iCs/>
          <w:i/>
        </w:rPr>
        <w:t xml:space="preserve">Teacher Secondary</w:t>
      </w:r>
      <w:r>
        <w:t xml:space="preserve">" addresses this by proposing time-management techniques and emotional resilience strategies. For administrators and teacher trainers in Bangkok, these insights are vital for developing support systems that prioritize teacher mental health, ultimately benefiting student outcomes.</w:t>
      </w:r>
    </w:p>
    <w:bookmarkEnd w:id="24"/>
    <w:bookmarkEnd w:id="25"/>
    <w:bookmarkStart w:id="26" w:name="critical-evaluation"/>
    <w:p>
      <w:pPr>
        <w:pStyle w:val="Heading2"/>
      </w:pPr>
      <w:r>
        <w:t xml:space="preserve">4. Critical Evaluation</w:t>
      </w:r>
    </w:p>
    <w:p>
      <w:pPr>
        <w:pStyle w:val="FirstParagraph"/>
      </w:pPr>
      <w:r>
        <w:t xml:space="preserve">While "</w:t>
      </w:r>
      <w:r>
        <w:rPr>
          <w:iCs/>
          <w:i/>
        </w:rPr>
        <w:t xml:space="preserve">Teacher Secondary</w:t>
      </w:r>
      <w:r>
        <w:t xml:space="preserve">" provides robust theoretical foundations, it is important to acknowledge its limitations when applied directly to the Global South. The examples provided are largely drawn from Western contexts, which may not fully resonate with the resource constraints faced by many schools in</w:t>
      </w:r>
      <w:r>
        <w:t xml:space="preserve"> </w:t>
      </w:r>
      <w:r>
        <w:rPr>
          <w:bCs/>
          <w:b/>
        </w:rPr>
        <w:t xml:space="preserve">Thailand Bangkok</w:t>
      </w:r>
      <w:r>
        <w:t xml:space="preserve">. For instance, recommendations for high-tech interactive whiteboards may be impractical for rural-urban fringe schools in Bangkok.</w:t>
      </w:r>
    </w:p>
    <w:p>
      <w:pPr>
        <w:pStyle w:val="BodyText"/>
      </w:pPr>
      <w:r>
        <w:t xml:space="preserve">However, the core philosophy of adaptive pedagogy remains universal. The book’s emphasis on teacher agency—the idea that teachers are decision-makers rather than mere implementers of policy—is empowering. It encourages educators to advocate for systemic changes while simultaneously optimizing their immediate classroom environments.</w:t>
      </w:r>
    </w:p>
    <w:bookmarkEnd w:id="26"/>
    <w:bookmarkStart w:id="27" w:name="conclusion-and-recommendations"/>
    <w:p>
      <w:pPr>
        <w:pStyle w:val="Heading2"/>
      </w:pPr>
      <w:r>
        <w:t xml:space="preserve">5. Conclusion and Recommendations</w:t>
      </w:r>
    </w:p>
    <w:p>
      <w:pPr>
        <w:pStyle w:val="FirstParagraph"/>
      </w:pPr>
      <w:r>
        <w:t xml:space="preserve">In conclusion, "</w:t>
      </w:r>
      <w:r>
        <w:rPr>
          <w:iCs/>
          <w:i/>
        </w:rPr>
        <w:t xml:space="preserve">Teacher Secondary</w:t>
      </w:r>
      <w:r>
        <w:t xml:space="preserve">" is an indispensable resource for understanding the complexities of modern secondary education. Its value lies not just in its descriptive analysis but in its prescriptive strategies for improvement. For stakeholders in</w:t>
      </w:r>
      <w:r>
        <w:t xml:space="preserve"> </w:t>
      </w:r>
      <w:r>
        <w:rPr>
          <w:bCs/>
          <w:b/>
        </w:rPr>
        <w:t xml:space="preserve">Thailand Bangkok</w:t>
      </w:r>
      <w:r>
        <w:t xml:space="preserve">, including ministry officials, school principals, and classroom teachers, this book offers a roadmap for navigating the transition from traditional rote-based education to a more holistic, competency-based model.</w:t>
      </w:r>
    </w:p>
    <w:p>
      <w:pPr>
        <w:pStyle w:val="BodyText"/>
      </w:pPr>
      <w:r>
        <w:rPr>
          <w:bCs/>
          <w:b/>
        </w:rPr>
        <w:t xml:space="preserve">Recommendations:</w:t>
      </w:r>
    </w:p>
    <w:p>
      <w:pPr>
        <w:pStyle w:val="BodyText"/>
      </w:pPr>
      <w:r>
        <w:rPr>
          <w:bCs/>
          <w:b/>
        </w:rPr>
        <w:t xml:space="preserve">In-Service Training:</w:t>
      </w:r>
      <w:r>
        <w:t xml:space="preserve"> Schools in Bangkok should incorporate modules from "</w:t>
      </w:r>
      <w:r>
        <w:rPr>
          <w:iCs/>
          <w:i/>
        </w:rPr>
        <w:t xml:space="preserve">Teacher Secondary</w:t>
      </w:r>
      <w:r>
        <w:t xml:space="preserve">" into their professional development programs, focusing on cross-cultural communication and digital integration.</w:t>
      </w:r>
    </w:p>
    <w:p>
      <w:pPr>
        <w:pStyle w:val="BodyText"/>
      </w:pPr>
      <w:r>
        <w:rPr>
          <w:bCs/>
          <w:b/>
        </w:rPr>
        <w:t xml:space="preserve">Policy Reform:</w:t>
      </w:r>
      <w:r>
        <w:t xml:space="preserve"> Educational policymakers in Thailand should use the book’s arguments to advocate for reduced administrative burdens, allowing teachers more time for pedagogical innovation.</w:t>
      </w:r>
    </w:p>
    <w:p>
      <w:pPr>
        <w:pStyle w:val="BodyText"/>
      </w:pPr>
      <w:r>
        <w:t xml:space="preserve">Cultural Adaptation:: Local educators are encouraged to adapt the book’s global strategies to fit the Thai context, blending modern pedagogical techniques with traditional values of respect and community.</w:t>
      </w:r>
    </w:p>
    <w:p>
      <w:pPr>
        <w:pStyle w:val="BodyText"/>
      </w:pPr>
      <w:r>
        <w:t xml:space="preserve">By embracing the insights within "</w:t>
      </w:r>
      <w:r>
        <w:rPr>
          <w:iCs/>
          <w:i/>
        </w:rPr>
        <w:t xml:space="preserve">Teacher Secondary</w:t>
      </w:r>
      <w:r>
        <w:t xml:space="preserve">", the educational community in</w:t>
      </w:r>
      <w:r>
        <w:t xml:space="preserve"> </w:t>
      </w:r>
      <w:r>
        <w:rPr>
          <w:bCs/>
          <w:b/>
        </w:rPr>
        <w:t xml:space="preserve">Thailand Bangkok</w:t>
      </w:r>
      <w:r>
        <w:t xml:space="preserve"> </w:t>
      </w:r>
      <w:r>
        <w:t xml:space="preserve">can foster a generation of learners who are not only academically proficient but also critically aware, ethically grounded, and prepared for the challenges of the 21st century.</w:t>
      </w:r>
    </w:p>
    <w:p>
      <w:r>
        <w:pict>
          <v:rect style="width:0;height:1.5pt" o:hralign="center" o:hrstd="t" o:hr="t"/>
        </w:pict>
      </w:r>
    </w:p>
    <w:p>
      <w:pPr>
        <w:pStyle w:val="FirstParagraph"/>
      </w:pPr>
      <w:r>
        <w:rPr>
          <w:iCs/>
          <w:i/>
        </w:rPr>
        <w:t xml:space="preserve">This report was generated to highlight the intersection of global educational theory with local implementation needs in Thailand Bangkok.</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Teacher Secondary - A Critical Analysis for the Thai Context</dc:title>
  <dc:creator/>
  <dc:language>en</dc:language>
  <cp:keywords/>
  <dcterms:created xsi:type="dcterms:W3CDTF">2026-07-29T14:28:49Z</dcterms:created>
  <dcterms:modified xsi:type="dcterms:W3CDTF">2026-07-29T14:28:49Z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