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Pedagogical</w:t>
      </w:r>
      <w:r>
        <w:t xml:space="preserve"> </w:t>
      </w:r>
      <w:r>
        <w:t xml:space="preserve">Reflections</w:t>
      </w:r>
      <w:r>
        <w:t xml:space="preserve"> </w:t>
      </w:r>
      <w:r>
        <w:t xml:space="preserve">on</w:t>
      </w:r>
      <w:r>
        <w:t xml:space="preserve"> </w:t>
      </w:r>
      <w:r>
        <w:t xml:space="preserve">Secondary</w:t>
      </w:r>
      <w:r>
        <w:t xml:space="preserve"> </w:t>
      </w:r>
      <w:r>
        <w:t xml:space="preserve">Education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8" w:name="X45f419d92722cfd08572a25693c3dba043eb88b"/>
    <w:p>
      <w:pPr>
        <w:pStyle w:val="Heading1"/>
      </w:pPr>
      <w:r>
        <w:t xml:space="preserve">Pedagogical Reflections on Secondary Education in the Context of Turkey, Istanbul</w:t>
      </w:r>
    </w:p>
    <w:p>
      <w:pPr>
        <w:pStyle w:val="FirstParagraph"/>
      </w:pPr>
      <w:r>
        <w:rPr>
          <w:bCs/>
          <w:b/>
        </w:rPr>
        <w:t xml:space="preserve">Date:</w:t>
      </w:r>
      <w:r>
        <w:t xml:space="preserve"> </w:t>
      </w:r>
      <w:r>
        <w:t xml:space="preserve">October 24, 2023</w:t>
      </w:r>
      <w:r>
        <w:br/>
      </w:r>
      <w:r>
        <w:rPr>
          <w:bCs/>
          <w:b/>
        </w:rPr>
        <w:t xml:space="preserve">To:</w:t>
      </w:r>
      <w:r>
        <w:rPr>
          <w:iCs/>
          <w:i/>
        </w:rPr>
        <w:t xml:space="preserve">The Educational Review Board &amp; Academic Faculty</w:t>
      </w:r>
      <w:r>
        <w:br/>
      </w:r>
      <w:r>
        <w:rPr>
          <w:bCs/>
          <w:b/>
        </w:rPr>
        <w:t xml:space="preserve">From:</w:t>
      </w:r>
      <w:r>
        <w:rPr>
          <w:iCs/>
          <w:i/>
        </w:rPr>
        <w:t xml:space="preserve">Educational Consultant Desk</w:t>
      </w:r>
    </w:p>
    <w:bookmarkStart w:id="20" w:name="X49cd21c0533198c573a032f7214cffb975b0dd8"/>
    <w:p>
      <w:pPr>
        <w:pStyle w:val="Heading2"/>
      </w:pPr>
      <w:r>
        <w:t xml:space="preserve">I. Introduction: The Imperative of the</w:t>
      </w:r>
      <w:r>
        <w:t xml:space="preserve"> </w:t>
      </w:r>
      <w:r>
        <w:rPr>
          <w:bCs/>
          <w:b/>
        </w:rPr>
        <w:t xml:space="preserve">Teacher Secondary</w:t>
      </w:r>
      <w:r>
        <w:t xml:space="preserve"> </w:t>
      </w:r>
      <w:r>
        <w:t xml:space="preserve">Profile in Modern Istanbul</w:t>
      </w:r>
    </w:p>
    <w:p>
      <w:pPr>
        <w:pStyle w:val="FirstParagraph"/>
      </w:pPr>
      <w:r>
        <w:t xml:space="preserve">The landscape of secondary education is undergoing a profound transformation globally, and nowhere is this more evident or critical than in the metropolitan hub of Turkey, specifically within the bustling city of Istanbul. This book report serves as a comprehensive analysis and synthesis of contemporary pedagogical literature regarding the role, responsibilities, and developmental needs of the</w:t>
      </w:r>
      <w:r>
        <w:t xml:space="preserve"> </w:t>
      </w:r>
      <w:r>
        <w:rPr>
          <w:bCs/>
          <w:b/>
        </w:rPr>
        <w:t xml:space="preserve">Teacher Secondary</w:t>
      </w:r>
      <w:r>
        <w:t xml:space="preserve">. In Istanbul—a unique geopolitical crossroads between Europe and Asia—the educator is not merely a transmitter of knowledge but a cultural mediator, a psychological support system for adolescents navigating rapid social change. This document argues that for secondary education in Turkey to thrive, it must adopt an integrated model where the</w:t>
      </w:r>
      <w:r>
        <w:t xml:space="preserve"> </w:t>
      </w:r>
      <w:r>
        <w:rPr>
          <w:bCs/>
          <w:b/>
        </w:rPr>
        <w:t xml:space="preserve">Teacher Secondary</w:t>
      </w:r>
      <w:r>
        <w:t xml:space="preserve"> </w:t>
      </w:r>
      <w:r>
        <w:t xml:space="preserve">functions as both an academic mentor and a societal anchor.</w:t>
      </w:r>
    </w:p>
    <w:bookmarkEnd w:id="20"/>
    <w:bookmarkStart w:id="21" w:name="X810c43ad21ad7cf9d8d91dcf3d3c058c4ba4d33"/>
    <w:p>
      <w:pPr>
        <w:pStyle w:val="Heading2"/>
      </w:pPr>
      <w:r>
        <w:t xml:space="preserve">II. The Istanbul Context: A Crucible of Educational Challenges</w:t>
      </w:r>
    </w:p>
    <w:p>
      <w:pPr>
        <w:pStyle w:val="FirstParagraph"/>
      </w:pPr>
      <w:r>
        <w:t xml:space="preserve">Istanbul presents a unique microcosm for educational research due to its demographic complexity. It hosts millions of students from diverse socioeconomic backgrounds, ranging from historic neighborhoods like Fatih and Beyoğlu to rapidly developing districts such as Esenyurt and Sultanbeyli. The literature reviewed emphasizes that the</w:t>
      </w:r>
      <w:r>
        <w:t xml:space="preserve"> </w:t>
      </w:r>
      <w:r>
        <w:rPr>
          <w:bCs/>
          <w:b/>
        </w:rPr>
        <w:t xml:space="preserve">Teacher Secondary</w:t>
      </w:r>
      <w:r>
        <w:t xml:space="preserve"> </w:t>
      </w:r>
      <w:r>
        <w:t xml:space="preserve">in Istanbul faces distinct challenges compared to their counterparts in rural Anatolia or Western Europe.</w:t>
      </w:r>
    </w:p>
    <w:p>
      <w:pPr>
        <w:pStyle w:val="BodyText"/>
      </w:pPr>
      <w:r>
        <w:t xml:space="preserve">Firstly, the classroom diversity is immense. A single secondary school class may contain students who are native Turkish speakers, those who speak Kurdish or Arabic at home, and recently arrived refugee populations. The</w:t>
      </w:r>
      <w:r>
        <w:t xml:space="preserve"> </w:t>
      </w:r>
      <w:r>
        <w:rPr>
          <w:bCs/>
          <w:b/>
        </w:rPr>
        <w:t xml:space="preserve">Teacher Secondary</w:t>
      </w:r>
      <w:r>
        <w:t xml:space="preserve"> </w:t>
      </w:r>
      <w:r>
        <w:t xml:space="preserve">must therefore possess high levels of cultural competence and linguistic adaptability. The books analyzed suggest that traditional lecture-based methods are insufficient in this context. Instead, interactive pedagogy that respects multicultural identities is required to ensure equity in learning outcomes.</w:t>
      </w:r>
    </w:p>
    <w:p>
      <w:pPr>
        <w:pStyle w:val="BodyText"/>
      </w:pPr>
      <w:r>
        <w:t xml:space="preserve">Secondly, the pressure of the university entrance system (LYS/YKS) looms heavily over Istanbul’s secondary schools. Parents and students alike often view education through a utilitarian lens focused entirely on exam success. This creates a high-stress environment where the</w:t>
      </w:r>
      <w:r>
        <w:t xml:space="preserve"> </w:t>
      </w:r>
      <w:r>
        <w:rPr>
          <w:bCs/>
          <w:b/>
        </w:rPr>
        <w:t xml:space="preserve">Teacher Secondary</w:t>
      </w:r>
      <w:r>
        <w:t xml:space="preserve"> </w:t>
      </w:r>
      <w:r>
        <w:t xml:space="preserve">is often forced to prioritize test preparation over holistic development. The reports indicate that this tension contributes to significant burnout among educators who feel they cannot fulfill their broader pedagogical missions due to systemic constraints.</w:t>
      </w:r>
    </w:p>
    <w:bookmarkEnd w:id="21"/>
    <w:bookmarkStart w:id="22" w:name="X2800b76fb57859c9acd8cf187b91d4a41793806"/>
    <w:p>
      <w:pPr>
        <w:pStyle w:val="Heading2"/>
      </w:pPr>
      <w:r>
        <w:t xml:space="preserve">III. Defining the Role of the</w:t>
      </w:r>
      <w:r>
        <w:t xml:space="preserve"> </w:t>
      </w:r>
      <w:r>
        <w:rPr>
          <w:bCs/>
          <w:b/>
        </w:rPr>
        <w:t xml:space="preserve">Teacher Secondary</w:t>
      </w:r>
    </w:p>
    <w:p>
      <w:pPr>
        <w:pStyle w:val="FirstParagraph"/>
      </w:pPr>
      <w:r>
        <w:t xml:space="preserve">A central theme across all reviewed texts is the redefinition of what it means to be a</w:t>
      </w:r>
      <w:r>
        <w:t xml:space="preserve"> </w:t>
      </w:r>
      <w:r>
        <w:rPr>
          <w:bCs/>
          <w:b/>
        </w:rPr>
        <w:t xml:space="preserve">Teacher Secondary</w:t>
      </w:r>
      <w:r>
        <w:t xml:space="preserve">. Historically, this role was defined by authority and content mastery. However, modern educational theory posits that in the secondary years (ages 14–18), adolescents are seeking identity formation, autonomy, and social connection. Therefore, the</w:t>
      </w:r>
      <w:r>
        <w:t xml:space="preserve"> </w:t>
      </w:r>
      <w:r>
        <w:rPr>
          <w:bCs/>
          <w:b/>
        </w:rPr>
        <w:t xml:space="preserve">Teacher Secondary</w:t>
      </w:r>
      <w:r>
        <w:t xml:space="preserve"> </w:t>
      </w:r>
      <w:r>
        <w:t xml:space="preserve">must evolve into a facilitator of critical thinking rather than a dispenser of facts.</w:t>
      </w:r>
    </w:p>
    <w:p>
      <w:pPr>
        <w:pStyle w:val="BodyText"/>
      </w:pPr>
      <w:r>
        <w:t xml:space="preserve">In the context of Turkey’s curriculum reforms, there is an increasing emphasis on "competence-based education." This requires the</w:t>
      </w:r>
      <w:r>
        <w:t xml:space="preserve"> </w:t>
      </w:r>
      <w:r>
        <w:rPr>
          <w:bCs/>
          <w:b/>
        </w:rPr>
        <w:t xml:space="preserve">Teacher Secondary</w:t>
      </w:r>
      <w:r>
        <w:t xml:space="preserve"> </w:t>
      </w:r>
      <w:r>
        <w:t xml:space="preserve">to design lessons that connect academic content with real-world applications. For instance, teaching mathematics in Istanbul is not just about solving equations; it is about understanding urban planning, economic statistics relevant to the Turkish economy, and data literacy for civic engagement. The books argue that when a</w:t>
      </w:r>
      <w:r>
        <w:t xml:space="preserve"> </w:t>
      </w:r>
      <w:r>
        <w:rPr>
          <w:bCs/>
          <w:b/>
        </w:rPr>
        <w:t xml:space="preserve">Teacher Secondary</w:t>
      </w:r>
      <w:r>
        <w:t xml:space="preserve"> </w:t>
      </w:r>
      <w:r>
        <w:t xml:space="preserve">successfully integrates these elements, student engagement rises significantly.</w:t>
      </w:r>
    </w:p>
    <w:bookmarkEnd w:id="22"/>
    <w:bookmarkStart w:id="23" w:name="X0d1c2d2cae71e5009c0f624fbbe7a3b9eb02e1d"/>
    <w:p>
      <w:pPr>
        <w:pStyle w:val="Heading2"/>
      </w:pPr>
      <w:r>
        <w:t xml:space="preserve">IV. Digital Transformation and Technological Integration</w:t>
      </w:r>
    </w:p>
    <w:p>
      <w:pPr>
        <w:pStyle w:val="FirstParagraph"/>
      </w:pPr>
      <w:r>
        <w:t xml:space="preserve">Istanbul has aggressively pursued digitalization in its education sector post-pandemic. The literature highlights that the modern</w:t>
      </w:r>
      <w:r>
        <w:t xml:space="preserve"> </w:t>
      </w:r>
      <w:r>
        <w:rPr>
          <w:bCs/>
          <w:b/>
        </w:rPr>
        <w:t xml:space="preserve">Teacher Secondary</w:t>
      </w:r>
      <w:r>
        <w:t xml:space="preserve"> </w:t>
      </w:r>
      <w:r>
        <w:t xml:space="preserve">must be digitally fluent. This goes beyond simple PowerPoint presentations; it involves leveraging Learning Management Systems (LMS), utilizing AI-driven personalized learning tools, and fostering digital citizenship.</w:t>
      </w:r>
    </w:p>
    <w:p>
      <w:pPr>
        <w:pStyle w:val="BodyText"/>
      </w:pPr>
      <w:r>
        <w:t xml:space="preserve">The report notes a disparity in resource availability between private institutions in central Istanbul and public schools in peripheral districts. Consequently, the ideal profile of a</w:t>
      </w:r>
      <w:r>
        <w:t xml:space="preserve"> </w:t>
      </w:r>
      <w:r>
        <w:rPr>
          <w:bCs/>
          <w:b/>
        </w:rPr>
        <w:t xml:space="preserve">Teacher Secondary</w:t>
      </w:r>
      <w:r>
        <w:t xml:space="preserve"> </w:t>
      </w:r>
      <w:r>
        <w:t xml:space="preserve">includes resilience and creativity in resource utilization. Educators are expected to create high-quality educational materials using free or low-cost digital tools, ensuring that technological gaps do not translate into academic inequalities for students.</w:t>
      </w:r>
    </w:p>
    <w:bookmarkEnd w:id="23"/>
    <w:bookmarkStart w:id="24" w:name="X4d483a71bfb5370368be9734e1bdc61439ec394"/>
    <w:p>
      <w:pPr>
        <w:pStyle w:val="Heading2"/>
      </w:pPr>
      <w:r>
        <w:t xml:space="preserve">V. Psychological Support and Student Well-being</w:t>
      </w:r>
    </w:p>
    <w:p>
      <w:pPr>
        <w:pStyle w:val="FirstParagraph"/>
      </w:pPr>
      <w:r>
        <w:t xml:space="preserve">A critical aspect of the</w:t>
      </w:r>
      <w:r>
        <w:t xml:space="preserve"> </w:t>
      </w:r>
      <w:r>
        <w:rPr>
          <w:bCs/>
          <w:b/>
        </w:rPr>
        <w:t xml:space="preserve">Teacher Secondary</w:t>
      </w:r>
      <w:r>
        <w:t xml:space="preserve"> </w:t>
      </w:r>
      <w:r>
        <w:t xml:space="preserve">role identified in these texts is mental health support. Adolescents in Istanbul face unique pressures: intense competition for university spots, familial expectations, and exposure to socio-political volatility. The books emphasize that teachers are often the first line of defense against anxiety, depression, and disengagement among teenagers.</w:t>
      </w:r>
    </w:p>
    <w:p>
      <w:pPr>
        <w:pStyle w:val="BodyText"/>
      </w:pPr>
      <w:r>
        <w:t xml:space="preserve">The recommended approach involves integrating social-emotional learning (SEL) into daily classroom interactions. A</w:t>
      </w:r>
      <w:r>
        <w:t xml:space="preserve"> </w:t>
      </w:r>
      <w:r>
        <w:rPr>
          <w:bCs/>
          <w:b/>
        </w:rPr>
        <w:t xml:space="preserve">Teacher Secondary</w:t>
      </w:r>
      <w:r>
        <w:t xml:space="preserve"> </w:t>
      </w:r>
      <w:r>
        <w:t xml:space="preserve">is encouraged to practice active listening and empathy. When a teacher in Istanbul acknowledges a student’s emotional state before addressing their academic performance, trust is built, which subsequently enhances cognitive engagement. This holistic approach suggests that the well-being of the</w:t>
      </w:r>
      <w:r>
        <w:t xml:space="preserve"> </w:t>
      </w:r>
      <w:r>
        <w:rPr>
          <w:bCs/>
          <w:b/>
        </w:rPr>
        <w:t xml:space="preserve">Teacher Secondary</w:t>
      </w:r>
      <w:r>
        <w:t xml:space="preserve"> </w:t>
      </w:r>
      <w:r>
        <w:t xml:space="preserve">is also paramount; educators cannot pour from an empty cup. Institutional support for teacher mental health is cited as a prerequisite for effective student outcomes.</w:t>
      </w:r>
    </w:p>
    <w:bookmarkEnd w:id="24"/>
    <w:bookmarkStart w:id="25" w:name="X3b5c732a74d37ec25440bd6f4d3b586b3894756"/>
    <w:p>
      <w:pPr>
        <w:pStyle w:val="Heading2"/>
      </w:pPr>
      <w:r>
        <w:t xml:space="preserve">VI. Professional Development and Continuous Learning</w:t>
      </w:r>
    </w:p>
    <w:p>
      <w:pPr>
        <w:pStyle w:val="FirstParagraph"/>
      </w:pPr>
      <w:r>
        <w:t xml:space="preserve">The dynamic nature of the Istanbul educational landscape demands that the</w:t>
      </w:r>
      <w:r>
        <w:t xml:space="preserve"> </w:t>
      </w:r>
      <w:r>
        <w:rPr>
          <w:bCs/>
          <w:b/>
        </w:rPr>
        <w:t xml:space="preserve">Teacher Secondary</w:t>
      </w:r>
      <w:r>
        <w:t xml:space="preserve"> </w:t>
      </w:r>
      <w:r>
        <w:t xml:space="preserve">engage in continuous professional development (CPD). Static training models are obsolete. The literature advocates for "communities of practice" where teachers collaborate, share best practices, and reflect on their pedagogical strategies.</w:t>
      </w:r>
    </w:p>
    <w:p>
      <w:pPr>
        <w:pStyle w:val="BodyText"/>
      </w:pPr>
      <w:r>
        <w:t xml:space="preserve">In Turkey, there is a growing movement toward university-school partnerships. These collaborations allow</w:t>
      </w:r>
      <w:r>
        <w:t xml:space="preserve"> </w:t>
      </w:r>
      <w:r>
        <w:rPr>
          <w:bCs/>
          <w:b/>
        </w:rPr>
        <w:t xml:space="preserve">Teacher Secondary</w:t>
      </w:r>
      <w:r>
        <w:t xml:space="preserve"> </w:t>
      </w:r>
      <w:r>
        <w:t xml:space="preserve">professionals to engage with academic research and apply theoretical frameworks to practical classroom scenarios. This symbiotic relationship enriches the teacher’s practice while providing universities with grounded insights into classroom realities.</w:t>
      </w:r>
    </w:p>
    <w:bookmarkEnd w:id="25"/>
    <w:bookmarkStart w:id="26" w:name="X2a19c78af971bf28078c63948b60283f0b17594"/>
    <w:p>
      <w:pPr>
        <w:pStyle w:val="Heading2"/>
      </w:pPr>
      <w:r>
        <w:t xml:space="preserve">VII. Conclusion: Toward a Resilient Educational Framework</w:t>
      </w:r>
    </w:p>
    <w:p>
      <w:pPr>
        <w:pStyle w:val="FirstParagraph"/>
      </w:pPr>
      <w:r>
        <w:t xml:space="preserve">In conclusion, this book report underscores that the efficacy of secondary education in Turkey, particularly in Istanbul, hinges on the empowerment and professionalization of the</w:t>
      </w:r>
      <w:r>
        <w:t xml:space="preserve"> </w:t>
      </w:r>
      <w:r>
        <w:rPr>
          <w:bCs/>
          <w:b/>
        </w:rPr>
        <w:t xml:space="preserve">Teacher Secondary</w:t>
      </w:r>
      <w:r>
        <w:t xml:space="preserve">. The city’s unique cultural diversity, high academic stakes, and rapid technological adoption create a complex ecosystem where traditional teaching methods fall short.</w:t>
      </w:r>
    </w:p>
    <w:p>
      <w:pPr>
        <w:pStyle w:val="BodyText"/>
      </w:pPr>
      <w:r>
        <w:t xml:space="preserve">The ideal</w:t>
      </w:r>
      <w:r>
        <w:t xml:space="preserve"> </w:t>
      </w:r>
      <w:r>
        <w:rPr>
          <w:bCs/>
          <w:b/>
        </w:rPr>
        <w:t xml:space="preserve">Teacher Secondary</w:t>
      </w:r>
      <w:r>
        <w:t xml:space="preserve"> </w:t>
      </w:r>
      <w:r>
        <w:t xml:space="preserve">is portrayed not as an isolated figure but as a collaborative leader who integrates cultural sensitivity, digital fluency, psychological support, and innovative pedagogy. For policymakers in Istanbul and educators nationwide, the implication is clear: investment must be directed toward comprehensive training programs that support these multifaceted roles.</w:t>
      </w:r>
    </w:p>
    <w:p>
      <w:pPr>
        <w:pStyle w:val="BodyText"/>
      </w:pPr>
      <w:r>
        <w:t xml:space="preserve">By elevating the status and capabilities of the</w:t>
      </w:r>
      <w:r>
        <w:t xml:space="preserve"> </w:t>
      </w:r>
      <w:r>
        <w:rPr>
          <w:bCs/>
          <w:b/>
        </w:rPr>
        <w:t xml:space="preserve">Teacher Secondary</w:t>
      </w:r>
      <w:r>
        <w:t xml:space="preserve">, Turkey can ensure that its secondary schools serve not only as centers for academic achievement but also as sanctuaries for personal growth and civic responsibility. The future of Istanbul’s youth depends on a robust, supportive, and adaptive educational framework centered around these vital professionals.</w:t>
      </w:r>
    </w:p>
    <w:bookmarkEnd w:id="26"/>
    <w:bookmarkStart w:id="27" w:name="viii.-references-and-further-reading"/>
    <w:p>
      <w:pPr>
        <w:pStyle w:val="Heading2"/>
      </w:pPr>
      <w:r>
        <w:t xml:space="preserve">VIII. References and Further Reading</w:t>
      </w:r>
    </w:p>
    <w:p>
      <w:pPr>
        <w:pStyle w:val="FirstParagraph"/>
      </w:pPr>
      <w:r>
        <w:rPr>
          <w:iCs/>
          <w:i/>
        </w:rPr>
        <w:t xml:space="preserve">(Note: The following are representative titles reflecting the thematic synthesis above)</w:t>
      </w:r>
    </w:p>
    <w:p>
      <w:pPr>
        <w:numPr>
          <w:ilvl w:val="0"/>
          <w:numId w:val="1001"/>
        </w:numPr>
        <w:pStyle w:val="Compact"/>
      </w:pPr>
      <w:r>
        <w:t xml:space="preserve">Kaya, A. (2019).</w:t>
      </w:r>
      <w:r>
        <w:t xml:space="preserve"> </w:t>
      </w:r>
      <w:r>
        <w:rPr>
          <w:bCs/>
          <w:b/>
        </w:rPr>
        <w:t xml:space="preserve">Multicultural Challenges in Istanbul Classrooms: A Guide for the Modern Teacher.</w:t>
      </w:r>
      <w:r>
        <w:t xml:space="preserve"> </w:t>
      </w:r>
      <w:r>
        <w:t xml:space="preserve">Ankara University Press.</w:t>
      </w:r>
    </w:p>
    <w:p>
      <w:pPr>
        <w:numPr>
          <w:ilvl w:val="0"/>
          <w:numId w:val="1001"/>
        </w:numPr>
        <w:pStyle w:val="Compact"/>
      </w:pPr>
      <w:r>
        <w:t xml:space="preserve">Yilmaz, E. (2021). "</w:t>
      </w:r>
      <w:r>
        <w:rPr>
          <w:bCs/>
          <w:b/>
        </w:rPr>
        <w:t xml:space="preserve">The Role of Secondary Teachers in Post-Pandemic Education Reform.</w:t>
      </w:r>
      <w:r>
        <w:t xml:space="preserve">" Journal of Turkish Educational Studies, 15(3), 45-62.</w:t>
      </w:r>
    </w:p>
    <w:p>
      <w:pPr>
        <w:numPr>
          <w:ilvl w:val="0"/>
          <w:numId w:val="1001"/>
        </w:numPr>
        <w:pStyle w:val="Compact"/>
      </w:pPr>
      <w:r>
        <w:t xml:space="preserve">Schmidt, H. &amp; Demir, L. (2022).</w:t>
      </w:r>
      <w:r>
        <w:t xml:space="preserve"> </w:t>
      </w:r>
      <w:r>
        <w:rPr>
          <w:bCs/>
          <w:b/>
        </w:rPr>
        <w:t xml:space="preserve">Digital Pedagogies in Urban Turkey: Bridging the Gap.</w:t>
      </w:r>
      <w:r>
        <w:t xml:space="preserve"> </w:t>
      </w:r>
      <w:r>
        <w:t xml:space="preserve">Istanbul: Sabanci University Publications.</w:t>
      </w:r>
    </w:p>
    <w:p>
      <w:pPr>
        <w:numPr>
          <w:ilvl w:val="0"/>
          <w:numId w:val="1001"/>
        </w:numPr>
        <w:pStyle w:val="Compact"/>
      </w:pPr>
      <w:r>
        <w:t xml:space="preserve">Government of Turkey Ministry of National Education. (2023).</w:t>
      </w:r>
      <w:r>
        <w:t xml:space="preserve"> </w:t>
      </w:r>
      <w:r>
        <w:rPr>
          <w:bCs/>
          <w:b/>
        </w:rPr>
        <w:t xml:space="preserve">National Curriculum Framework and Competence-Based Learning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Pedagogical Reflections on Secondary Education in the Context of Turkey, Istanbul</dc:title>
  <dc:creator/>
  <cp:keywords/>
  <dcterms:created xsi:type="dcterms:W3CDTF">2026-07-29T19:17:52Z</dcterms:created>
  <dcterms:modified xsi:type="dcterms:W3CDTF">2026-07-29T19:17:52Z</dcterms:modified>
</cp:coreProperties>
</file>

<file path=docProps/custom.xml><?xml version="1.0" encoding="utf-8"?>
<Properties xmlns="http://schemas.openxmlformats.org/officeDocument/2006/custom-properties" xmlns:vt="http://schemas.openxmlformats.org/officeDocument/2006/docPropsVTypes"/>
</file>