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Analysis</w:t>
      </w:r>
      <w:r>
        <w:t xml:space="preserve"> </w:t>
      </w:r>
      <w:r>
        <w:t xml:space="preserve">for</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Educational</w:t>
      </w:r>
      <w:r>
        <w:t xml:space="preserve"> </w:t>
      </w:r>
      <w:r>
        <w:t xml:space="preserve">Context</w:t>
      </w:r>
    </w:p>
    <w:bookmarkStart w:id="29" w:name="book-report-teacher-secondary"/>
    <w:p>
      <w:pPr>
        <w:pStyle w:val="Heading1"/>
      </w:pPr>
      <w:r>
        <w:t xml:space="preserve">Book Report: Teacher Secondary</w:t>
      </w:r>
    </w:p>
    <w:p>
      <w:pPr>
        <w:pStyle w:val="FirstParagraph"/>
      </w:pPr>
      <w:r>
        <w:rPr>
          <w:bCs/>
          <w:b/>
        </w:rPr>
        <w:t xml:space="preserve">Date:</w:t>
      </w:r>
      <w:r>
        <w:t xml:space="preserve"> </w:t>
      </w:r>
      <w:r>
        <w:t xml:space="preserve">October 26, 2023</w:t>
      </w:r>
      <w:r>
        <w:br/>
      </w:r>
      <w:r>
        <w:rPr>
          <w:bCs/>
          <w:b/>
        </w:rPr>
        <w:t xml:space="preserve">Locus of Analysis:</w:t>
      </w:r>
      <w:r>
        <w:t xml:space="preserve"> </w:t>
      </w:r>
      <w:r>
        <w:t xml:space="preserve">United States Miami Educational Ecosystem</w:t>
      </w:r>
      <w:r>
        <w:br/>
      </w:r>
      <w:r>
        <w:rPr>
          <w:bCs/>
          <w:b/>
        </w:rPr>
        <w:t xml:space="preserve">Purpose:</w:t>
      </w:r>
      <w:r>
        <w:t xml:space="preserve">A comprehensive review and strategic adaptation guide for the book "Teacher Secondary," contextualized specifically for the unique challenges and opportunities found in Miami, Florida.</w:t>
      </w:r>
    </w:p>
    <w:bookmarkStart w:id="20" w:name="executive-summary"/>
    <w:p>
      <w:pPr>
        <w:pStyle w:val="Heading3"/>
      </w:pPr>
      <w:r>
        <w:t xml:space="preserve">Executive Summary</w:t>
      </w:r>
    </w:p>
    <w:p>
      <w:pPr>
        <w:pStyle w:val="FirstParagraph"/>
      </w:pPr>
      <w:r>
        <w:t xml:space="preserve">This report analyzes the core principles outlined in "Teacher Secondary." While the text provides a foundational framework for secondary education pedagogy, this document adapts its methodologies to align with the specific demographic, cultural, and academic realities of schools within Miami-Dade County. The goal is to bridge theoretical pedagogical strategies with practical application in one of America's most diverse educational landscapes.</w:t>
      </w:r>
    </w:p>
    <w:bookmarkEnd w:id="20"/>
    <w:bookmarkStart w:id="21" w:name="X7110362233d5bcb15703e8794f3bb9b90efff1c"/>
    <w:p>
      <w:pPr>
        <w:pStyle w:val="Heading2"/>
      </w:pPr>
      <w:r>
        <w:t xml:space="preserve">1. Introduction: The Imperative for Contextual Adaptation</w:t>
      </w:r>
    </w:p>
    <w:p>
      <w:pPr>
        <w:pStyle w:val="FirstParagraph"/>
      </w:pPr>
      <w:r>
        <w:t xml:space="preserve">The book "Teacher Secondary" serves as a seminal text regarding the transition from elementary to middle and high school education. It emphasizes structural integrity in curriculum design, behavioral management, and adolescent psychological development. However, applying these general principles universally is insufficient when targeting specific locales. In the United States Miami region, educators operate within a microcosm of global diversity that requires nuanced interpretation of standard pedagogical texts.</w:t>
      </w:r>
    </w:p>
    <w:p>
      <w:pPr>
        <w:pStyle w:val="BodyText"/>
      </w:pPr>
      <w:r>
        <w:t xml:space="preserve">Miami’s secondary schools are not merely academic institutions; they are cultural hubs where Hispanic, Caribbean, Latin American, and Anglophone cultures intersect daily. Therefore, a direct application of "Teacher Secondary" without modification fails to address the linguistic and socioeconomic complexities present in Miami classrooms. This report argues that for "Teacher Secondary" to be effective in</w:t>
      </w:r>
      <w:r>
        <w:t xml:space="preserve"> </w:t>
      </w:r>
      <w:r>
        <w:t xml:space="preserve">United States Miami</w:t>
      </w:r>
      <w:r>
        <w:t xml:space="preserve">, its strategies must be filtered through a lens of cultural responsiveness and bilingual inclusivity.</w:t>
      </w:r>
    </w:p>
    <w:bookmarkEnd w:id="21"/>
    <w:bookmarkStart w:id="22" w:name="core-themes-from-teacher-secondary"/>
    <w:p>
      <w:pPr>
        <w:pStyle w:val="Heading2"/>
      </w:pPr>
      <w:r>
        <w:t xml:space="preserve">2. Core Themes from "Teacher Secondary"</w:t>
      </w:r>
    </w:p>
    <w:p>
      <w:pPr>
        <w:pStyle w:val="FirstParagraph"/>
      </w:pPr>
      <w:r>
        <w:t xml:space="preserve">The text identifies three primary pillars of secondary education:</w:t>
      </w:r>
    </w:p>
    <w:p>
      <w:pPr>
        <w:numPr>
          <w:ilvl w:val="0"/>
          <w:numId w:val="1001"/>
        </w:numPr>
        <w:pStyle w:val="Compact"/>
      </w:pPr>
      <w:r>
        <w:rPr>
          <w:bCs/>
          <w:b/>
        </w:rPr>
        <w:t xml:space="preserve">The Developmental Bridge:</w:t>
      </w:r>
      <w:r>
        <w:t xml:space="preserve"> </w:t>
      </w:r>
      <w:r>
        <w:t xml:space="preserve">How to support students aged 11–18 during critical adolescent growth phases.</w:t>
      </w:r>
    </w:p>
    <w:p>
      <w:pPr>
        <w:numPr>
          <w:ilvl w:val="0"/>
          <w:numId w:val="1001"/>
        </w:numPr>
        <w:pStyle w:val="Compact"/>
      </w:pPr>
      <w:r>
        <w:rPr>
          <w:bCs/>
          <w:b/>
        </w:rPr>
        <w:t xml:space="preserve">Curricular Rigor vs. Accessibility:</w:t>
      </w:r>
      <w:r>
        <w:t xml:space="preserve"> </w:t>
      </w:r>
      <w:r>
        <w:t xml:space="preserve">Balancing advanced placement demands with the need for foundational support.</w:t>
      </w:r>
    </w:p>
    <w:p>
      <w:pPr>
        <w:numPr>
          <w:ilvl w:val="0"/>
          <w:numId w:val="1001"/>
        </w:numPr>
        <w:pStyle w:val="Compact"/>
      </w:pPr>
      <w:r>
        <w:rPr>
          <w:bCs/>
          <w:b/>
          <w:iCs/>
          <w:i/>
        </w:rPr>
        <w:t xml:space="preserve">Institutional Culture:</w:t>
      </w:r>
      <w:r>
        <w:t xml:space="preserve"> </w:t>
      </w:r>
      <w:r>
        <w:t xml:space="preserve">Creating a safe, inclusive environment that fosters long-term academic retention.</w:t>
      </w:r>
    </w:p>
    <w:p>
      <w:pPr>
        <w:pStyle w:val="FirstParagraph"/>
      </w:pPr>
      <w:r>
        <w:t xml:space="preserve">In a vacuum, these points are universally valid. However, when examining the specific context of Miami’s secondary sector, each pillar requires significant elaboration. The "Developmental Bridge" in Miami often involves navigating dual-language transitions; "Curricular Rigor" must account for varying levels of English proficiency among recent immigrants; and "Institutional Culture" must respect a multitude of distinct cultural traditions.</w:t>
      </w:r>
    </w:p>
    <w:bookmarkEnd w:id="22"/>
    <w:bookmarkStart w:id="26" w:name="Xe6176e71334f7c41791f2deea76fa8ef5b6a999"/>
    <w:p>
      <w:pPr>
        <w:pStyle w:val="Heading2"/>
      </w:pPr>
      <w:r>
        <w:t xml:space="preserve">3. Adapting Pedagogy to the United States Miami Context</w:t>
      </w:r>
    </w:p>
    <w:bookmarkStart w:id="23" w:name="Xfd2699ec877e44b8ed06a795e0a1a5859562968"/>
    <w:p>
      <w:pPr>
        <w:pStyle w:val="Heading3"/>
      </w:pPr>
      <w:r>
        <w:t xml:space="preserve">A. Linguistic Diversity and Bilingual Education</w:t>
      </w:r>
    </w:p>
    <w:p>
      <w:pPr>
        <w:pStyle w:val="FirstParagraph"/>
      </w:pPr>
      <w:r>
        <w:t xml:space="preserve">Miami-Dade County Public Schools is one of the most linguistically diverse districts in the nation. A significant portion of secondary students are English Language Learners (ELLs). The "Teacher Secondary" text advocates for differentiated instruction, but in Miami, this differentiation must be linguistic as well as academic. Teachers must utilize scaffolding techniques that allow Spanish-dominant students to engage with complex secondary subjects like Chemistry or History without sacrificing content mastery due to language barriers.</w:t>
      </w:r>
    </w:p>
    <w:p>
      <w:pPr>
        <w:pStyle w:val="BodyText"/>
      </w:pPr>
      <w:r>
        <w:t xml:space="preserve">Furthermore, the concept of "Teacher Secondary" suggests strict adherence to standard academic English. In Miami, however, effective educators often employ translanguaging strategies—allowing students to use their home language as a cognitive tool while learning English. This adaptation honors the student's identity and accelerates acquisition, making the theoretical framework of "Teacher Secondary" more humane and practical in</w:t>
      </w:r>
      <w:r>
        <w:t xml:space="preserve"> </w:t>
      </w:r>
      <w:r>
        <w:t xml:space="preserve">United States Miami</w:t>
      </w:r>
      <w:r>
        <w:t xml:space="preserve">.</w:t>
      </w:r>
    </w:p>
    <w:bookmarkEnd w:id="23"/>
    <w:bookmarkStart w:id="24" w:name="X746ce7fff32c377955f59bfcfafe549bb94a8c3"/>
    <w:p>
      <w:pPr>
        <w:pStyle w:val="Heading3"/>
      </w:pPr>
      <w:r>
        <w:t xml:space="preserve">B. Cultural Competency and Community Engagement</w:t>
      </w:r>
    </w:p>
    <w:p>
      <w:pPr>
        <w:pStyle w:val="FirstParagraph"/>
      </w:pPr>
      <w:r>
        <w:t xml:space="preserve">The book emphasizes community involvement as a key factor in student success. In Miami, this involves recognizing the strong familial ties inherent in Latin American and Caribbean cultures (often referred to as *familismo*). Traditional American pedagogical models sometimes view parental involvement through a lens of standardized volunteerism or PTA attendance. In contrast, Miami’s educational culture thrives on informal networks of support.</w:t>
      </w:r>
    </w:p>
    <w:p>
      <w:pPr>
        <w:pStyle w:val="BodyText"/>
      </w:pPr>
      <w:r>
        <w:t xml:space="preserve">To successfully implement "Teacher Secondary" strategies in this region, educators must reframe parent-teacher interactions. Instead of expecting parents to conform to traditional Western school norms, teachers should engage with families in culturally familiar settings and acknowledge the transnational nature of many students' lives. Many Miami students have family connections across the border or abroad; acknowledging these realities creates a deeper trust that facilitates better classroom management—a core tenet of "Teacher Secondary."</w:t>
      </w:r>
    </w:p>
    <w:bookmarkEnd w:id="24"/>
    <w:bookmarkStart w:id="25" w:name="c.-socioeconomic-resilience"/>
    <w:p>
      <w:pPr>
        <w:pStyle w:val="Heading3"/>
      </w:pPr>
      <w:r>
        <w:t xml:space="preserve">C. Socioeconomic Resilience</w:t>
      </w:r>
    </w:p>
    <w:p>
      <w:pPr>
        <w:pStyle w:val="FirstParagraph"/>
      </w:pPr>
      <w:r>
        <w:t xml:space="preserve">Miami presents a stark dichotomy between wealth and poverty, even within close geographic proximities. The "Teacher Secondary" text addresses equity but often from a generic standpoint. In Miami, teachers must be acutely aware of the socioeconomic mobility challenges their students face, including housing instability and economic precarity common in certain neighborhoods.</w:t>
      </w:r>
    </w:p>
    <w:p>
      <w:pPr>
        <w:pStyle w:val="BodyText"/>
      </w:pPr>
      <w:r>
        <w:t xml:space="preserve">Adapting the book's advice on "student well-being" means recognizing that mental health interventions in Miami schools are not just about academic stress but often about survival and stability. Teachers trained under the adapted "Teacher Secondary" model must act as connectors to community resources, leveraging local non-profits and religious organizations prevalent in Miami’s diverse tapestry.</w:t>
      </w:r>
    </w:p>
    <w:bookmarkEnd w:id="25"/>
    <w:bookmarkEnd w:id="26"/>
    <w:bookmarkStart w:id="27" w:name="X1b40bb09ea6f70697ed711913583405f6219c0c"/>
    <w:p>
      <w:pPr>
        <w:pStyle w:val="Heading2"/>
      </w:pPr>
      <w:r>
        <w:t xml:space="preserve">4. Practical Implementation Strategies for Teachers</w:t>
      </w:r>
    </w:p>
    <w:p>
      <w:pPr>
        <w:pStyle w:val="FirstParagraph"/>
      </w:pPr>
      <w:r>
        <w:t xml:space="preserve">To bridge the gap between theory and practice, we propose the following actionable steps for secondary teachers in United States Miami:</w:t>
      </w:r>
    </w:p>
    <w:p>
      <w:pPr>
        <w:numPr>
          <w:ilvl w:val="0"/>
          <w:numId w:val="1002"/>
        </w:numPr>
        <w:pStyle w:val="Compact"/>
      </w:pPr>
      <w:r>
        <w:rPr>
          <w:bCs/>
          <w:b/>
        </w:rPr>
        <w:t xml:space="preserve">Culturally Responsive Lesson Planning:</w:t>
      </w:r>
      <w:r>
        <w:t xml:space="preserve"> </w:t>
      </w:r>
      <w:r>
        <w:t xml:space="preserve">When teaching literature or history, include texts and historical events relevant to Cuban, Colombian, Venezuelan, Haitian, and Bahamian experiences. This validates the "Teacher Secondary" goal of engagement by making content personally relevant.</w:t>
      </w:r>
    </w:p>
    <w:p>
      <w:pPr>
        <w:numPr>
          <w:ilvl w:val="0"/>
          <w:numId w:val="1002"/>
        </w:numPr>
        <w:pStyle w:val="Compact"/>
      </w:pPr>
      <w:r>
        <w:rPr>
          <w:bCs/>
          <w:b/>
        </w:rPr>
        <w:t xml:space="preserve">Bilingual Scaffolding Materials:</w:t>
      </w:r>
      <w:r>
        <w:t xml:space="preserve"> </w:t>
      </w:r>
      <w:r>
        <w:t xml:space="preserve">Develop glossaries and instructional guides that are available in both English and Spanish. This directly applies the accessibility principles from "Teacher Secondary" while addressing Miami’s demographic reality.</w:t>
      </w:r>
    </w:p>
    <w:p>
      <w:pPr>
        <w:numPr>
          <w:ilvl w:val="0"/>
          <w:numId w:val="1002"/>
        </w:numPr>
        <w:pStyle w:val="Compact"/>
      </w:pPr>
      <w:r>
        <w:rPr>
          <w:bCs/>
          <w:b/>
        </w:rPr>
        <w:t xml:space="preserve">Mentorship Programs Focused on Identity:</w:t>
      </w:r>
      <w:r>
        <w:t xml:space="preserve"> </w:t>
      </w:r>
      <w:r>
        <w:t xml:space="preserve">Create safe spaces where secondary students can discuss issues of immigration, identity, and belonging. This addresses the psychological development aspects of the text by providing emotional support structures.</w:t>
      </w:r>
    </w:p>
    <w:bookmarkEnd w:id="27"/>
    <w:bookmarkStart w:id="28" w:name="Xb091c1752e582b51b3383093b4cc67a39508bb9"/>
    <w:p>
      <w:pPr>
        <w:pStyle w:val="Heading2"/>
      </w:pPr>
      <w:r>
        <w:t xml:space="preserve">5. Conclusion: A Localized Framework for Global Standards</w:t>
      </w:r>
    </w:p>
    <w:p>
      <w:pPr>
        <w:pStyle w:val="FirstParagraph"/>
      </w:pPr>
      <w:r>
        <w:t xml:space="preserve">The book "Teacher Secondary" provides an essential roadmap for navigating the complexities of adolescent education. However, a rigid application of its theories risks alienating the very students it aims to serve in diverse locales like Miami. By adapting its core tenets to respect linguistic diversity, cultural richness, and socioeconomic realities, educators in</w:t>
      </w:r>
      <w:r>
        <w:t xml:space="preserve"> </w:t>
      </w:r>
      <w:r>
        <w:t xml:space="preserve">United States Miami</w:t>
      </w:r>
      <w:r>
        <w:t xml:space="preserve"> </w:t>
      </w:r>
      <w:r>
        <w:t xml:space="preserve">can create a more effective and empathetic learning environment.</w:t>
      </w:r>
    </w:p>
    <w:p>
      <w:pPr>
        <w:pStyle w:val="BodyText"/>
      </w:pPr>
      <w:r>
        <w:t xml:space="preserve">The ultimate goal of this report is not to discard the wisdom of "Teacher Secondary," but to localize it. In Miami, being a secondary teacher is about more than delivering curriculum; it is about building bridges across cultures and languages. When educators combine the structural guidance of standard pedagogical texts with the specific cultural intelligence required in Miami, they fulfill the highest promise of secondary education: preparing diverse young adults for a global future while honoring their local roots.</w:t>
      </w:r>
    </w:p>
    <w:p>
      <w:pPr>
        <w:pStyle w:val="BodyText"/>
      </w:pPr>
      <w:r>
        <w:t xml:space="preserve">Therefore, we recommend that all professional development workshops in United States Miami schools treat "Teacher Secondary" as a foundational text to be critically adapted, rather than a rigid rulebook. This approach ensures that the educational experience remains rigorous, inclusive, and deeply connected to the unique spirit of Miami.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 Analysis for the United States Miami Educational Context</dc:title>
  <dc:creator/>
  <dc:language>en</dc:language>
  <cp:keywords/>
  <dcterms:created xsi:type="dcterms:W3CDTF">2026-07-29T19:33:47Z</dcterms:created>
  <dcterms:modified xsi:type="dcterms:W3CDTF">2026-07-29T19:33:47Z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