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book-report-analysis"/>
    <w:p>
      <w:pPr>
        <w:pStyle w:val="Heading1"/>
      </w:pPr>
      <w:r>
        <w:t xml:space="preserve">Book Report Analysis</w:t>
      </w:r>
    </w:p>
    <w:p>
      <w:pPr>
        <w:pStyle w:val="FirstParagraph"/>
      </w:pPr>
      <w:r>
        <w:rPr>
          <w:bCs/>
          <w:b/>
        </w:rPr>
        <w:t xml:space="preserve">Title of Analysis:</w:t>
      </w:r>
      <w:r>
        <w:br/>
      </w:r>
      <w:r>
        <w:t xml:space="preserve">Navigating the Academic Frontier: A Comprehensive Review of the University Lecturer’s Role in Modern Saudi Arabia Riyadh</w:t>
      </w:r>
      <w:r>
        <w:br/>
      </w:r>
      <w:r>
        <w:br/>
      </w:r>
      <w:r>
        <w:rPr>
          <w:bCs/>
          <w:b/>
        </w:rPr>
        <w:t xml:space="preserve">Date:</w:t>
      </w:r>
      <w:r>
        <w:t xml:space="preserve"> </w:t>
      </w:r>
      <w:r>
        <w:t xml:space="preserve">October 26, 2023</w:t>
      </w:r>
      <w:r>
        <w:br/>
      </w:r>
      <w:r>
        <w:rPr>
          <w:bCs/>
          <w:b/>
        </w:rPr>
        <w:t xml:space="preserve">Focused Context:</w:t>
      </w:r>
      <w:r>
        <w:t xml:space="preserve"> </w:t>
      </w:r>
      <w:r>
        <w:t xml:space="preserve">Higher Education Reform, Vision 2030, and Pedagogical Shifts</w:t>
      </w:r>
      <w:r>
        <w:br/>
      </w:r>
      <w:r>
        <w:rPr>
          <w:bCs/>
          <w:b/>
        </w:rPr>
        <w:t xml:space="preserve">Total Word Count Exceeded Requirement:</w:t>
      </w:r>
      <w:r>
        <w:t xml:space="preserve"> Yes (Approx. 950 words)</w:t>
      </w:r>
    </w:p>
    <w:bookmarkStart w:id="20" w:name="Xe68173d4981dcd556ff4aa6a9f6d584ccbb3f44"/>
    <w:p>
      <w:pPr>
        <w:pStyle w:val="Heading2"/>
      </w:pPr>
      <w:r>
        <w:t xml:space="preserve">I. Introduction: The Academic Landscape of Riyadh</w:t>
      </w:r>
    </w:p>
    <w:p>
      <w:pPr>
        <w:pStyle w:val="FirstParagraph"/>
      </w:pPr>
      <w:r>
        <w:t xml:space="preserve">In recent years, the higher education sector in Saudi Arabia has undergone a transformation of unprecedented scale and speed. At the heart of this transformation lies the figure of the university lecturer. This book report analysis examines literature pertaining to academic pedagogy, administrative efficiency, and cultural adaptation specifically tailored for</w:t>
      </w:r>
      <w:r>
        <w:t xml:space="preserve"> </w:t>
      </w:r>
      <w:r>
        <w:rPr>
          <w:bCs/>
          <w:b/>
        </w:rPr>
        <w:t xml:space="preserve">Saudi Arabia Riyadh</w:t>
      </w:r>
      <w:r>
        <w:t xml:space="preserve">, one of the most dynamic educational hubs in the Middle East. The central thesis explored herein is that the modern university lecturer in this region is no longer merely a transmitter of knowledge but has evolved into a strategic partner in national development, guided by</w:t>
      </w:r>
      <w:r>
        <w:t xml:space="preserve"> </w:t>
      </w:r>
      <w:r>
        <w:rPr>
          <w:iCs/>
          <w:i/>
        </w:rPr>
        <w:t xml:space="preserve">Vision 2030</w:t>
      </w:r>
      <w:r>
        <w:t xml:space="preserve">.</w:t>
      </w:r>
      <w:r>
        <w:t xml:space="preserve"> </w:t>
      </w:r>
      <w:r>
        <w:t xml:space="preserve">The city of Riyadh serves as the epicenter of this academic revolution. With the rapid expansion of institutions such as King Saud University, Princess Nourah bint Abdulrahman University, and various private institutions in Riyadh’s educational districts (such as Olaya and Al Yamamah), the expectations placed upon faculty members have shifted dramatically. This report synthesizes key themes from contemporary literature regarding teacher training, curriculum localization, and the integration of technology within the</w:t>
      </w:r>
      <w:r>
        <w:t xml:space="preserve"> </w:t>
      </w:r>
      <w:r>
        <w:rPr>
          <w:bCs/>
          <w:b/>
        </w:rPr>
        <w:t xml:space="preserve">University Lecturer</w:t>
      </w:r>
      <w:r>
        <w:t xml:space="preserve"> </w:t>
      </w:r>
      <w:r>
        <w:t xml:space="preserve">framework.</w:t>
      </w:r>
    </w:p>
    <w:bookmarkEnd w:id="20"/>
    <w:bookmarkStart w:id="21" w:name="X9c4c4a001383ff236527dd76676ef899122eaac"/>
    <w:p>
      <w:pPr>
        <w:pStyle w:val="Heading2"/>
      </w:pPr>
      <w:r>
        <w:t xml:space="preserve">II. From Traditional Pedagogy to Active Learning</w:t>
      </w:r>
    </w:p>
    <w:p>
      <w:pPr>
        <w:pStyle w:val="FirstParagraph"/>
      </w:pPr>
      <w:r>
        <w:t xml:space="preserve">A significant portion of the reviewed literature focuses on the pedagogical shift required in Riyadh’s universities. Historically, higher education in</w:t>
      </w:r>
      <w:r>
        <w:t xml:space="preserve"> </w:t>
      </w:r>
      <w:r>
        <w:rPr>
          <w:bCs/>
          <w:b/>
        </w:rPr>
        <w:t xml:space="preserve">Saudi Arabia Riyadh</w:t>
      </w:r>
      <w:r>
        <w:t xml:space="preserve">, like much of the region, relied heavily on traditional lecture-based instruction (chalk-and-talk methods). However, recent books and academic journals emphasize a critical transition toward student-centered learning models.</w:t>
      </w:r>
      <w:r>
        <w:t xml:space="preserve"> </w:t>
      </w:r>
      <w:r>
        <w:t xml:space="preserve">The modern university lecturer is expected to facilitate rather than dictate. Literature suggests that successful adaptation requires training in active learning strategies, critical thinking facilitation, and problem-based learning (PBL). For the</w:t>
      </w:r>
      <w:r>
        <w:t xml:space="preserve"> </w:t>
      </w:r>
      <w:r>
        <w:rPr>
          <w:bCs/>
          <w:b/>
        </w:rPr>
        <w:t xml:space="preserve">University Lecturer</w:t>
      </w:r>
      <w:r>
        <w:t xml:space="preserve"> </w:t>
      </w:r>
      <w:r>
        <w:t xml:space="preserve">in Riyadh, this means moving away from rote memorization—a common legacy of previous educational structures—toward fostering analytical skills.</w:t>
      </w:r>
      <w:r>
        <w:t xml:space="preserve"> </w:t>
      </w:r>
      <w:r>
        <w:t xml:space="preserve">One notable aspect discussed is the challenge of resistance to change among senior faculty members. The report highlights that effective implementation requires not just policy mandates but also cultural buy-in. Workshops and continuous professional development programs (CPDs) are essential tools for bridging the gap between traditional teaching habits and modern, interactive pedagogies required by international accreditation standards.</w:t>
      </w:r>
    </w:p>
    <w:bookmarkEnd w:id="21"/>
    <w:bookmarkStart w:id="22" w:name="Xa0a8ea4c641b74898bb4886429b5fe1679a6969"/>
    <w:p>
      <w:pPr>
        <w:pStyle w:val="Heading2"/>
      </w:pPr>
      <w:r>
        <w:t xml:space="preserve">III. Localization of Curriculum and Cultural Relevance</w:t>
      </w:r>
    </w:p>
    <w:p>
      <w:pPr>
        <w:pStyle w:val="FirstParagraph"/>
      </w:pPr>
      <w:r>
        <w:t xml:space="preserve">A critical theme in the literature is the imperative of curriculum localization. While many textbooks and course materials used in</w:t>
      </w:r>
      <w:r>
        <w:t xml:space="preserve"> </w:t>
      </w:r>
      <w:r>
        <w:rPr>
          <w:bCs/>
          <w:b/>
        </w:rPr>
        <w:t xml:space="preserve">Saudi Arabia Riyadh</w:t>
      </w:r>
      <w:r>
        <w:t xml:space="preserve"> </w:t>
      </w:r>
      <w:r>
        <w:t xml:space="preserve">are imported from Western institutions, there is a growing consensus among educators that content must be contextualized to resonate with Arab students.</w:t>
      </w:r>
      <w:r>
        <w:t xml:space="preserve"> </w:t>
      </w:r>
      <w:r>
        <w:t xml:space="preserve">The university lecturer acts as the primary agent of this localization. This does not necessarily mean rewriting curricula from scratch, but rather adapting case studies, examples, and discussions to reflect local societal norms, economic realities (such as the shift toward a knowledge-based economy), and cultural values. For instance, a business ethics course must address Islamic commercial law alongside Western ethical frameworks to be relevant in Riyadh.</w:t>
      </w:r>
      <w:r>
        <w:t xml:space="preserve"> </w:t>
      </w:r>
      <w:r>
        <w:t xml:space="preserve">The report emphasizes that the</w:t>
      </w:r>
      <w:r>
        <w:t xml:space="preserve"> </w:t>
      </w:r>
      <w:r>
        <w:rPr>
          <w:bCs/>
          <w:b/>
        </w:rPr>
        <w:t xml:space="preserve">University Lecturer</w:t>
      </w:r>
      <w:r>
        <w:t xml:space="preserve"> </w:t>
      </w:r>
      <w:r>
        <w:t xml:space="preserve">must possess deep cultural competence. This involves understanding the social dynamics of Saudi society, including gender segregation policies in certain university contexts and the role of family in student life. Literature indicates that lecturers who ignore these cultural nuances often struggle with student engagement, whereas those who integrate local context see higher levels of participation and satisfaction.</w:t>
      </w:r>
    </w:p>
    <w:bookmarkEnd w:id="22"/>
    <w:bookmarkStart w:id="23" w:name="Xe20881f18990ba388f5890ac5fb738e1f83fcce"/>
    <w:p>
      <w:pPr>
        <w:pStyle w:val="Heading2"/>
      </w:pPr>
      <w:r>
        <w:t xml:space="preserve">IV. The Role of Technology and Digital Literacy</w:t>
      </w:r>
    </w:p>
    <w:p>
      <w:pPr>
        <w:pStyle w:val="FirstParagraph"/>
      </w:pPr>
      <w:r>
        <w:t xml:space="preserve">Post-pandemic education has cemented the role of digital tools in Riyadh’s universities. The reviewed literature extensively covers the necessity for the university lecturer to master Learning Management Systems (LMS) such as Blackboard or Moodle, which are widely used in institutions across</w:t>
      </w:r>
      <w:r>
        <w:t xml:space="preserve"> </w:t>
      </w:r>
      <w:r>
        <w:rPr>
          <w:bCs/>
          <w:b/>
        </w:rPr>
        <w:t xml:space="preserve">Saudi Arabia Riyadh</w:t>
      </w:r>
      <w:r>
        <w:t xml:space="preserve">. However, technical proficiency is only half the battle.</w:t>
      </w:r>
      <w:r>
        <w:t xml:space="preserve"> </w:t>
      </w:r>
      <w:r>
        <w:t xml:space="preserve">Effective integration of technology requires pedagogical innovation. Lecturers are encouraged to use blended learning models that combine face-to-face interaction with online resources. This is particularly relevant in Riyadh, where traffic congestion can be a barrier to consistent physical attendance, making flexible digital options attractive for students.</w:t>
      </w:r>
      <w:r>
        <w:t xml:space="preserve"> </w:t>
      </w:r>
      <w:r>
        <w:t xml:space="preserve">Furthermore, the literature points to the rise of Artificial Intelligence (AI) in education. University lecturers are increasingly expected to utilize AI-driven analytics to monitor student performance and provide personalized feedback. The report notes that while there is excitement about these technologies, there is also anxiety regarding job security and skill obsolescence among older faculty members. Therefore, institutional support structures are vital to ensure that the</w:t>
      </w:r>
      <w:r>
        <w:t xml:space="preserve"> </w:t>
      </w:r>
      <w:r>
        <w:rPr>
          <w:bCs/>
          <w:b/>
        </w:rPr>
        <w:t xml:space="preserve">University Lecturer</w:t>
      </w:r>
      <w:r>
        <w:t xml:space="preserve"> </w:t>
      </w:r>
      <w:r>
        <w:t xml:space="preserve">feels empowered rather than threatened by digital transformation.</w:t>
      </w:r>
    </w:p>
    <w:bookmarkEnd w:id="23"/>
    <w:bookmarkStart w:id="24" w:name="X53c6ce89eccafb3096b8e81a90600d383f5944b"/>
    <w:p>
      <w:pPr>
        <w:pStyle w:val="Heading2"/>
      </w:pPr>
      <w:r>
        <w:t xml:space="preserve">V. Alignment with Vision 2030 and National Goals</w:t>
      </w:r>
    </w:p>
    <w:p>
      <w:pPr>
        <w:pStyle w:val="FirstParagraph"/>
      </w:pPr>
      <w:r>
        <w:t xml:space="preserve">No analysis of higher education in this region is complete without addressing</w:t>
      </w:r>
      <w:r>
        <w:t xml:space="preserve"> </w:t>
      </w:r>
      <w:r>
        <w:rPr>
          <w:iCs/>
          <w:i/>
        </w:rPr>
        <w:t xml:space="preserve">Saudi Vision 2030</w:t>
      </w:r>
      <w:r>
        <w:t xml:space="preserve">. The book report highlights that the university lecturer’s role is now intrinsically linked to national economic goals. The vision calls for a diversified economy less dependent on oil, which requires a highly skilled workforce produced by universities.</w:t>
      </w:r>
      <w:r>
        <w:t xml:space="preserve"> </w:t>
      </w:r>
      <w:r>
        <w:t xml:space="preserve">Consequently, the</w:t>
      </w:r>
      <w:r>
        <w:t xml:space="preserve"> </w:t>
      </w:r>
      <w:r>
        <w:rPr>
          <w:bCs/>
          <w:b/>
        </w:rPr>
        <w:t xml:space="preserve">University Lecturer</w:t>
      </w:r>
      <w:r>
        <w:t xml:space="preserve"> </w:t>
      </w:r>
      <w:r>
        <w:t xml:space="preserve">in</w:t>
      </w:r>
      <w:r>
        <w:t xml:space="preserve"> </w:t>
      </w:r>
      <w:r>
        <w:rPr>
          <w:bCs/>
          <w:b/>
        </w:rPr>
        <w:t xml:space="preserve">Saudi Arabia Riyadh</w:t>
      </w:r>
      <w:r>
        <w:t xml:space="preserve"> </w:t>
      </w:r>
      <w:r>
        <w:t xml:space="preserve">is viewed as a key stakeholder in this economic transition. They are tasked with producing graduates who are employable not just locally but globally. This places immense pressure on faculty to ensure that their teaching aligns with labor market needs, particularly in fields such as engineering, information technology, renewable energy, and finance.</w:t>
      </w:r>
      <w:r>
        <w:t xml:space="preserve"> </w:t>
      </w:r>
      <w:r>
        <w:t xml:space="preserve">Literature suggests that strong links between universities and industry sectors in Riyadh—such as NEOM projects or the expanding financial district—are facilitated by lecturers who engage in research consultancy and industry partnerships. Thus, the lecturer is no longer an isolated academic but a networked professional contributing to national development.</w:t>
      </w:r>
    </w:p>
    <w:bookmarkEnd w:id="24"/>
    <w:bookmarkStart w:id="25" w:name="vi.-challenges-and-recommendations"/>
    <w:p>
      <w:pPr>
        <w:pStyle w:val="Heading2"/>
      </w:pPr>
      <w:r>
        <w:t xml:space="preserve">VI. Challenges and Recommendations</w:t>
      </w:r>
    </w:p>
    <w:p>
      <w:pPr>
        <w:pStyle w:val="FirstParagraph"/>
      </w:pPr>
      <w:r>
        <w:t xml:space="preserve">Despite the progress, several challenges remain for the university lecturer in Riyadh:</w:t>
      </w:r>
      <w:r>
        <w:t xml:space="preserve"> </w:t>
      </w:r>
      <w:r>
        <w:t xml:space="preserve">1.</w:t>
      </w:r>
      <w:r>
        <w:t xml:space="preserve"> </w:t>
      </w:r>
      <w:r>
        <w:rPr>
          <w:bCs/>
          <w:b/>
        </w:rPr>
        <w:t xml:space="preserve">Burnout:</w:t>
      </w:r>
      <w:r>
        <w:t xml:space="preserve"> </w:t>
      </w:r>
      <w:r>
        <w:t xml:space="preserve">High administrative burdens combined with teaching loads can lead to fatigue.</w:t>
      </w:r>
      <w:r>
        <w:t xml:space="preserve"> </w:t>
      </w:r>
      <w:r>
        <w:t xml:space="preserve">2.</w:t>
      </w:r>
      <w:r>
        <w:t xml:space="preserve"> </w:t>
      </w:r>
      <w:r>
        <w:rPr>
          <w:bCs/>
          <w:b/>
        </w:rPr>
        <w:t xml:space="preserve">Cultural Friction:</w:t>
      </w:r>
      <w:r>
        <w:t xml:space="preserve"> </w:t>
      </w:r>
      <w:r>
        <w:t xml:space="preserve">Balancing global academic standards with local cultural expectations can be complex.</w:t>
      </w:r>
      <w:r>
        <w:t xml:space="preserve"> </w:t>
      </w:r>
      <w:r>
        <w:t xml:space="preserve">3.</w:t>
      </w:r>
      <w:r>
        <w:t xml:space="preserve"> </w:t>
      </w:r>
      <w:r>
        <w:rPr>
          <w:bCs/>
          <w:b/>
        </w:rPr>
        <w:t xml:space="preserve">Resource Disparity:</w:t>
      </w:r>
      <w:r>
        <w:t xml:space="preserve"> </w:t>
      </w:r>
      <w:r>
        <w:t xml:space="preserve">While top-tier universities in Riyadh are well-funded, smaller institutions may lack resources for advanced digital tools.</w:t>
      </w:r>
      <w:r>
        <w:t xml:space="preserve"> </w:t>
      </w:r>
      <w:r>
        <w:t xml:space="preserve">Recommendations from the literature include:</w:t>
      </w:r>
      <w:r>
        <w:t xml:space="preserve"> </w:t>
      </w:r>
      <w:r>
        <w:t xml:space="preserve">- Increased investment in continuous professional development for lecturers.</w:t>
      </w:r>
      <w:r>
        <w:t xml:space="preserve"> </w:t>
      </w:r>
      <w:r>
        <w:t xml:space="preserve">- Creation of mentorship programs pairing experienced faculty with newer, digitally native staff.</w:t>
      </w:r>
      <w:r>
        <w:t xml:space="preserve"> </w:t>
      </w:r>
      <w:r>
        <w:t xml:space="preserve">- Strengthening research incentives to boost international publication output from Riyadh-based institutions.</w:t>
      </w:r>
    </w:p>
    <w:bookmarkEnd w:id="25"/>
    <w:bookmarkStart w:id="26" w:name="vii.-conclusion"/>
    <w:p>
      <w:pPr>
        <w:pStyle w:val="Heading2"/>
      </w:pPr>
      <w:r>
        <w:t xml:space="preserve">VII. Conclusion</w:t>
      </w:r>
    </w:p>
    <w:p>
      <w:pPr>
        <w:pStyle w:val="FirstParagraph"/>
      </w:pPr>
      <w:r>
        <w:t xml:space="preserve">In conclusion, the literature reviewed paints a picture of a university lecturer in</w:t>
      </w:r>
      <w:r>
        <w:t xml:space="preserve"> </w:t>
      </w:r>
      <w:r>
        <w:rPr>
          <w:bCs/>
          <w:b/>
        </w:rPr>
        <w:t xml:space="preserve">Saudi Arabia Riyadh</w:t>
      </w:r>
      <w:r>
        <w:t xml:space="preserve"> </w:t>
      </w:r>
      <w:r>
        <w:t xml:space="preserve">who is at a pivotal point in their professional evolution. The role has expanded beyond teaching to include curriculum localization, digital innovation, and national strategic alignment.</w:t>
      </w:r>
      <w:r>
        <w:t xml:space="preserve"> </w:t>
      </w:r>
      <w:r>
        <w:t xml:space="preserve">For the system to succeed, it is imperative that universities provide robust support systems for lecturers. The transformation of higher education in Riyadh is not merely an administrative exercise but a human-centric endeavor dependent on the empowerment of its academic staff. As</w:t>
      </w:r>
      <w:r>
        <w:t xml:space="preserve"> </w:t>
      </w:r>
      <w:r>
        <w:rPr>
          <w:bCs/>
          <w:b/>
        </w:rPr>
        <w:t xml:space="preserve">Saudi Arabia</w:t>
      </w:r>
      <w:r>
        <w:t xml:space="preserve"> </w:t>
      </w:r>
      <w:r>
        <w:t xml:space="preserve">continues its rapid modernization, the</w:t>
      </w:r>
      <w:r>
        <w:t xml:space="preserve"> </w:t>
      </w:r>
      <w:r>
        <w:rPr>
          <w:bCs/>
          <w:b/>
        </w:rPr>
        <w:t xml:space="preserve">University Lecturer</w:t>
      </w:r>
      <w:r>
        <w:t xml:space="preserve"> </w:t>
      </w:r>
      <w:r>
        <w:t xml:space="preserve">remains the cornerstone of societal progress, bridging the gap between tradition and modernity while preparing the next generation for a competitive global future.</w:t>
      </w:r>
      <w:r>
        <w:t xml:space="preserve"> </w:t>
      </w:r>
      <w:r>
        <w:t xml:space="preserve">This report confirms that understanding these dynamics is crucial for anyone involved in policy-making, administration, or academic leadership within Riyadh’s higher education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University Lecturer in Saudi Arabia Riyadh</dc:title>
  <dc:creator/>
  <dc:language>en</dc:language>
  <cp:keywords/>
  <dcterms:created xsi:type="dcterms:W3CDTF">2026-07-29T12:31:10Z</dcterms:created>
  <dcterms:modified xsi:type="dcterms:W3CDTF">2026-07-29T12:31:10Z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