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Singapore</w:t>
      </w:r>
    </w:p>
    <w:bookmarkStart w:id="26" w:name="X6ea5b123dcab2c7924c1208775d970610d2d8d4"/>
    <w:p>
      <w:pPr>
        <w:pStyle w:val="Heading1"/>
      </w:pPr>
      <w:r>
        <w:t xml:space="preserve">Book Report: Navigating Academia in the Lion City</w:t>
      </w:r>
      <w:r>
        <w:br/>
      </w:r>
      <w:r>
        <w:t xml:space="preserve">The Role, Challenge, and Evolution of the University Lecturer in Singapore</w:t>
      </w:r>
    </w:p>
    <w:p>
      <w:pPr>
        <w:pStyle w:val="FirstParagraph"/>
      </w:pPr>
      <w:r>
        <w:rPr>
          <w:bCs/>
          <w:b/>
        </w:rPr>
        <w:t xml:space="preserve">Date:</w:t>
      </w:r>
      <w:r>
        <w:t xml:space="preserve"> </w:t>
      </w:r>
      <w:r>
        <w:t xml:space="preserve">October 24, 2023</w:t>
      </w:r>
      <w:r>
        <w:br/>
      </w:r>
    </w:p>
    <w:p>
      <w:pPr>
        <w:pStyle w:val="BodyText"/>
      </w:pPr>
      <w:r>
        <w:br/>
      </w:r>
      <w:r>
        <w:t xml:space="preserve">This document serves as a comprehensive analysis and synthesis of literature surrounding the professional identity, pedagogical responsibilities, and societal expectations of the university lecturer within the unique educational ecosystem of Singapore. As Singapore continues to solidify its position as a global hub for education in Asia, understanding the nuances of its academic workforce is critical. This report examines how local policies, cultural dynamics, and international benchmarks shape the daily reality for higher education educators in this nation-state.</w:t>
      </w:r>
    </w:p>
    <w:bookmarkStart w:id="20" w:name="X8b9999cf108fb84013e71ad19e12ffcea59615c"/>
    <w:p>
      <w:pPr>
        <w:pStyle w:val="Heading2"/>
      </w:pPr>
      <w:r>
        <w:t xml:space="preserve">Introduction: The Unique Context of Singapore’s Higher Education Landscape</w:t>
      </w:r>
    </w:p>
    <w:p>
      <w:pPr>
        <w:pStyle w:val="FirstParagraph"/>
      </w:pPr>
      <w:r>
        <w:t xml:space="preserve">The landscape of higher education in Singapore is distinct from Western counterparts due to its rapid modernization state-led vision and high-stakes academic culture. Unlike many Western universities where tenure systems provide long-term job security, the system in</w:t>
      </w:r>
      <w:r>
        <w:t xml:space="preserve"> </w:t>
      </w:r>
      <w:r>
        <w:rPr>
          <w:bCs/>
          <w:b/>
        </w:rPr>
        <w:t xml:space="preserve">Singapore</w:t>
      </w:r>
      <w:r>
        <w:t xml:space="preserve"> </w:t>
      </w:r>
      <w:r>
        <w:t xml:space="preserve">operates with a more performance-driven metric. Recent literature indicates that university lecturers in</w:t>
      </w:r>
      <w:r>
        <w:t xml:space="preserve"> </w:t>
      </w:r>
      <w:r>
        <w:rPr>
          <w:bCs/>
          <w:b/>
        </w:rPr>
        <w:t xml:space="preserve">Singapore</w:t>
      </w:r>
      <w:r>
        <w:t xml:space="preserve"> </w:t>
      </w:r>
      <w:r>
        <w:t xml:space="preserve">face a "triple threat" of expectations: they must be world-class researchers, innovative pedagogues, and active contributors to national economic strategies. This report argues that the role of the university lecturer here has evolved from a traditional scholar-teacher hybrid into a strategic stakeholder in nation-building.</w:t>
      </w:r>
    </w:p>
    <w:p>
      <w:pPr>
        <w:pStyle w:val="BodyText"/>
      </w:pPr>
      <w:r>
        <w:t xml:space="preserve">The term</w:t>
      </w:r>
      <w:r>
        <w:t xml:space="preserve"> </w:t>
      </w:r>
      <w:r>
        <w:rPr>
          <w:bCs/>
          <w:b/>
        </w:rPr>
        <w:t xml:space="preserve">University Lecturer</w:t>
      </w:r>
      <w:r>
        <w:t xml:space="preserve"> </w:t>
      </w:r>
      <w:r>
        <w:t xml:space="preserve">in this context carries specific weight. It is not merely an instructional title but a designation that requires rigorous adherence to international research standards while simultaneously navigating the local cultural expectation of respect for authority and hierarchical structures. The literature reviewed suggests that successful adaptation to this environment requires a delicate balance between academic freedom and institutional alignment.</w:t>
      </w:r>
    </w:p>
    <w:bookmarkEnd w:id="20"/>
    <w:bookmarkStart w:id="21" w:name="X35f5ae4ef0b0356b359d3c917cfa9c90c658463"/>
    <w:p>
      <w:pPr>
        <w:pStyle w:val="Heading2"/>
      </w:pPr>
      <w:r>
        <w:t xml:space="preserve">Pedagogical Shifts: From Teaching to Learning Facilitation</w:t>
      </w:r>
    </w:p>
    <w:p>
      <w:pPr>
        <w:pStyle w:val="FirstParagraph"/>
      </w:pPr>
      <w:r>
        <w:t xml:space="preserve">A significant portion of contemporary analysis focuses on the pedagogical transformation required of the</w:t>
      </w:r>
      <w:r>
        <w:t xml:space="preserve"> </w:t>
      </w:r>
      <w:r>
        <w:rPr>
          <w:bCs/>
          <w:b/>
        </w:rPr>
        <w:t xml:space="preserve">University Lecturer</w:t>
      </w:r>
      <w:r>
        <w:t xml:space="preserve">. In</w:t>
      </w:r>
      <w:r>
        <w:t xml:space="preserve"> </w:t>
      </w:r>
      <w:r>
        <w:rPr>
          <w:bCs/>
          <w:b/>
        </w:rPr>
        <w:t xml:space="preserve">Singapore</w:t>
      </w:r>
      <w:r>
        <w:t xml:space="preserve">, there has been a decisive shift from teacher-centered instruction to student-centered learning. This transition is driven by the Ministry of Education’s (MOE) emphasis on "Teaching Less, Learning More" and more recently, the SkillsFuture initiative which promotes lifelong learning and adaptability.</w:t>
      </w:r>
    </w:p>
    <w:p>
      <w:pPr>
        <w:pStyle w:val="BodyText"/>
      </w:pPr>
      <w:r>
        <w:t xml:space="preserve">Lecturers are no longer just dispensers of knowledge; they are facilitators of critical thinking and problem-solving. Reports indicate that</w:t>
      </w:r>
      <w:r>
        <w:t xml:space="preserve"> </w:t>
      </w:r>
      <w:r>
        <w:rPr>
          <w:bCs/>
          <w:b/>
        </w:rPr>
        <w:t xml:space="preserve">University Lecturer</w:t>
      </w:r>
      <w:r>
        <w:t xml:space="preserve">s in Singapore must integrate digital literacy into their curricula to prepare students for a volatile global job market. This requires substantial professional development, as many educators were trained in traditional lecture-based methodologies. The pressure to innovate is high, with institutions regularly assessing teaching effectiveness through student feedback and peer reviews. Consequently, the</w:t>
      </w:r>
      <w:r>
        <w:t xml:space="preserve"> </w:t>
      </w:r>
      <w:r>
        <w:rPr>
          <w:bCs/>
          <w:b/>
        </w:rPr>
        <w:t xml:space="preserve">University Lecturer</w:t>
      </w:r>
      <w:r>
        <w:t xml:space="preserve"> </w:t>
      </w:r>
      <w:r>
        <w:t xml:space="preserve">role demands continuous self-improvement and adaptability to new educational technologies such as virtual reality simulations and AI-assisted grading tools.</w:t>
      </w:r>
    </w:p>
    <w:bookmarkEnd w:id="21"/>
    <w:bookmarkStart w:id="22" w:name="X29b2215f6fc57914cd130d1450c974a5f8f80cb"/>
    <w:p>
      <w:pPr>
        <w:pStyle w:val="Heading2"/>
      </w:pPr>
      <w:r>
        <w:t xml:space="preserve">The Research Imperative: Global Standards in a Local Context</w:t>
      </w:r>
    </w:p>
    <w:p>
      <w:pPr>
        <w:pStyle w:val="FirstParagraph"/>
      </w:pPr>
      <w:r>
        <w:t xml:space="preserve">If teaching is the heart of academia, research is its engine. For the</w:t>
      </w:r>
      <w:r>
        <w:t xml:space="preserve"> </w:t>
      </w:r>
      <w:r>
        <w:rPr>
          <w:bCs/>
          <w:b/>
        </w:rPr>
        <w:t xml:space="preserve">University Lecturer</w:t>
      </w:r>
      <w:r>
        <w:t xml:space="preserve"> </w:t>
      </w:r>
      <w:r>
        <w:t xml:space="preserve">in</w:t>
      </w:r>
      <w:r>
        <w:t xml:space="preserve"> </w:t>
      </w:r>
      <w:r>
        <w:rPr>
          <w:bCs/>
          <w:b/>
        </w:rPr>
        <w:t xml:space="preserve">Singapore</w:t>
      </w:r>
      <w:r>
        <w:t xml:space="preserve">, publication records are paramount. The literature highlights a intense competitive environment where lecturers are expected to publish in high-impact, Scopus-indexed journals. This expectation is not isolated; it reflects Singapore’s broader national strategy to position its universities (such as NUS and NTU) among the top 20 globally.</w:t>
      </w:r>
    </w:p>
    <w:p>
      <w:pPr>
        <w:pStyle w:val="BodyText"/>
      </w:pPr>
      <w:r>
        <w:t xml:space="preserve">However, this research focus presents a challenge. Critics argue that the heavy emphasis on quantifiable metrics may detract from time spent on undergraduate mentoring. For the</w:t>
      </w:r>
      <w:r>
        <w:t xml:space="preserve"> </w:t>
      </w:r>
      <w:r>
        <w:rPr>
          <w:bCs/>
          <w:b/>
        </w:rPr>
        <w:t xml:space="preserve">University Lecturer</w:t>
      </w:r>
      <w:r>
        <w:t xml:space="preserve">, this creates a tension between service to students and service to global academia. Furthermore, there is an expectation that research should have practical applications relevant to Singapore’s economy, particularly in sectors like biotechnology, fintech, and urban sustainability. This applied nature distinguishes the</w:t>
      </w:r>
      <w:r>
        <w:t xml:space="preserve"> </w:t>
      </w:r>
      <w:r>
        <w:rPr>
          <w:bCs/>
          <w:b/>
        </w:rPr>
        <w:t xml:space="preserve">Singapore</w:t>
      </w:r>
      <w:r>
        <w:t xml:space="preserve"> </w:t>
      </w:r>
      <w:r>
        <w:t xml:space="preserve">academic model from purely theoretical Western models.</w:t>
      </w:r>
    </w:p>
    <w:bookmarkEnd w:id="22"/>
    <w:bookmarkStart w:id="23" w:name="X8478833bc4cb229e4625cffd02ccf24728c7190"/>
    <w:p>
      <w:pPr>
        <w:pStyle w:val="Heading2"/>
      </w:pPr>
      <w:r>
        <w:t xml:space="preserve">Cultural Dynamics and Cross-Cultural Competence</w:t>
      </w:r>
    </w:p>
    <w:p>
      <w:pPr>
        <w:pStyle w:val="FirstParagraph"/>
      </w:pPr>
      <w:r>
        <w:t xml:space="preserve">A crucial aspect of being a</w:t>
      </w:r>
      <w:r>
        <w:t xml:space="preserve"> </w:t>
      </w:r>
      <w:r>
        <w:rPr>
          <w:bCs/>
          <w:b/>
        </w:rPr>
        <w:t xml:space="preserve">University Lecturer</w:t>
      </w:r>
      <w:r>
        <w:t xml:space="preserve"> </w:t>
      </w:r>
      <w:r>
        <w:t xml:space="preserve">in</w:t>
      </w:r>
      <w:r>
        <w:t xml:space="preserve"> </w:t>
      </w:r>
      <w:r>
        <w:rPr>
          <w:bCs/>
          <w:b/>
        </w:rPr>
        <w:t xml:space="preserve">Singapore</w:t>
      </w:r>
      <w:r>
        <w:t xml:space="preserve">, especially in an increasingly internationalized campus environment, is cross-cultural competence. The student body is diverse, comprising local students who may have strong rote-learning backgrounds from the secondary school system (GCE 'O' and 'A' Levels), as well as a growing population of international students.</w:t>
      </w:r>
    </w:p>
    <w:p>
      <w:pPr>
        <w:pStyle w:val="BodyText"/>
      </w:pPr>
      <w:r>
        <w:t xml:space="preserve">Literature suggests that</w:t>
      </w:r>
      <w:r>
        <w:t xml:space="preserve"> </w:t>
      </w:r>
      <w:r>
        <w:rPr>
          <w:bCs/>
          <w:b/>
        </w:rPr>
        <w:t xml:space="preserve">University Lecturer</w:t>
      </w:r>
      <w:r>
        <w:t xml:space="preserve">s must navigate these cultural differences with sensitivity. Local students may be hesitant to challenge authority or participate in open debate, a trait often rooted in Confucian values prevalent in the region. The effective lecturer learns to create a safe space for dissent and creative expression without causing students to lose face. This cultural mediation is a subtle but vital skill set that defines successful academic leadership in</w:t>
      </w:r>
      <w:r>
        <w:t xml:space="preserve"> </w:t>
      </w:r>
      <w:r>
        <w:rPr>
          <w:bCs/>
          <w:b/>
        </w:rPr>
        <w:t xml:space="preserve">Singapore</w:t>
      </w:r>
      <w:r>
        <w:t xml:space="preserve">.</w:t>
      </w:r>
    </w:p>
    <w:bookmarkEnd w:id="23"/>
    <w:bookmarkStart w:id="24" w:name="X4e645445b7cefff898952c929c644be3c3ca4ac"/>
    <w:p>
      <w:pPr>
        <w:pStyle w:val="Heading2"/>
      </w:pPr>
      <w:r>
        <w:t xml:space="preserve">Well-being and Professional Sustainability</w:t>
      </w:r>
    </w:p>
    <w:p>
      <w:pPr>
        <w:pStyle w:val="FirstParagraph"/>
      </w:pPr>
      <w:r>
        <w:t xml:space="preserve">Recent reports have begun to shed light on the mental health challenges faced by the</w:t>
      </w:r>
      <w:r>
        <w:t xml:space="preserve"> </w:t>
      </w:r>
      <w:r>
        <w:rPr>
          <w:bCs/>
          <w:b/>
        </w:rPr>
        <w:t xml:space="preserve">University Lecturer</w:t>
      </w:r>
      <w:r>
        <w:t xml:space="preserve">. The "publish or perish" culture, combined with administrative burdens and high teaching loads, has led to rising levels of burnout. In response, several universities in</w:t>
      </w:r>
      <w:r>
        <w:t xml:space="preserve"> </w:t>
      </w:r>
      <w:r>
        <w:rPr>
          <w:bCs/>
          <w:b/>
        </w:rPr>
        <w:t xml:space="preserve">Singapore</w:t>
      </w:r>
      <w:r>
        <w:t xml:space="preserve"> </w:t>
      </w:r>
      <w:r>
        <w:t xml:space="preserve">have started implementing wellness programs. However, anecdotal evidence from staff surveys suggests that the stigma around seeking help remains a barrier. The role demands resilience, emotional intelligence, and robust time-management skills.</w:t>
      </w:r>
    </w:p>
    <w:bookmarkEnd w:id="24"/>
    <w:bookmarkStart w:id="25" w:name="Xe0842a818a5e011269649542ac8ef491ecd9ec2"/>
    <w:p>
      <w:pPr>
        <w:pStyle w:val="Heading2"/>
      </w:pPr>
      <w:r>
        <w:t xml:space="preserve">Conclusion: The Future of the Academic Profession</w:t>
      </w:r>
    </w:p>
    <w:p>
      <w:pPr>
        <w:pStyle w:val="FirstParagraph"/>
      </w:pPr>
      <w:r>
        <w:t xml:space="preserve">In conclusion, the document analysis reveals that the identity of a</w:t>
      </w:r>
      <w:r>
        <w:t xml:space="preserve"> </w:t>
      </w:r>
      <w:r>
        <w:rPr>
          <w:bCs/>
          <w:b/>
        </w:rPr>
        <w:t xml:space="preserve">University Lecturer</w:t>
      </w:r>
      <w:r>
        <w:t xml:space="preserve"> </w:t>
      </w:r>
      <w:r>
        <w:t xml:space="preserve">in</w:t>
      </w:r>
      <w:r>
        <w:t xml:space="preserve"> </w:t>
      </w:r>
      <w:r>
        <w:rPr>
          <w:bCs/>
          <w:b/>
        </w:rPr>
        <w:t xml:space="preserve">Singapore</w:t>
      </w:r>
      <w:r>
        <w:br/>
      </w:r>
      <w:r>
        <w:t xml:space="preserve">s is complex and multifaceted. It is not sufficient to be merely knowledgeable; one must be adaptable, culturally aware, and strategically aligned with national goals. The Singaporean model offers high rewards in terms of resources, global connectivity, and prestige. However, it demands exceptional dedication from its academic staff.</w:t>
      </w:r>
    </w:p>
    <w:p>
      <w:pPr>
        <w:pStyle w:val="BodyText"/>
      </w:pPr>
      <w:r>
        <w:t xml:space="preserve">For future practitioners considering this path in</w:t>
      </w:r>
      <w:r>
        <w:t xml:space="preserve"> </w:t>
      </w:r>
      <w:r>
        <w:rPr>
          <w:bCs/>
          <w:b/>
        </w:rPr>
        <w:t xml:space="preserve">Singapore</w:t>
      </w:r>
      <w:r>
        <w:t xml:space="preserve">, the key takeaway is the need for agility. The role is dynamic, shifting with technological advancements and policy changes. The</w:t>
      </w:r>
      <w:r>
        <w:t xml:space="preserve"> </w:t>
      </w:r>
      <w:r>
        <w:rPr>
          <w:bCs/>
          <w:b/>
        </w:rPr>
        <w:t xml:space="preserve">University Lecturer</w:t>
      </w:r>
      <w:r>
        <w:t xml:space="preserve"> </w:t>
      </w:r>
      <w:r>
        <w:t xml:space="preserve">of tomorrow will likely rely even more on data-driven pedagogy and interdisciplinary collaboration. Ultimately, serving as an academic in this vibrant hub requires a passion for education that transcends mere employment—it becomes a contribution to the intellectual future of Southeast Asia.</w:t>
      </w:r>
    </w:p>
    <w:p>
      <w:pPr>
        <w:pStyle w:val="BodyText"/>
      </w:pPr>
      <w:r>
        <w:rPr>
          <w:iCs/>
          <w:i/>
        </w:rPr>
        <w:t xml:space="preserve">This book report synthesizes various academic papers, policy documents from the Ministry of Education Singapore, and institutional reports from major local universities to provide a holistic view of the current state of higher education teaching in the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University Lecturer in Singapore</dc:title>
  <dc:creator/>
  <dc:language>en</dc:language>
  <cp:keywords/>
  <dcterms:created xsi:type="dcterms:W3CDTF">2026-07-29T15:35:16Z</dcterms:created>
  <dcterms:modified xsi:type="dcterms:W3CDTF">2026-07-29T15:35:16Z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