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f65347fb011d3a604ea03aa773417ae6d166662"/>
    <w:p>
      <w:pPr>
        <w:pStyle w:val="Heading1"/>
      </w:pPr>
      <w:r>
        <w:t xml:space="preserve">Book Report</w:t>
      </w:r>
      <w:r>
        <w:t xml:space="preserve">: The Contemporary</w:t>
      </w:r>
      <w:r>
        <w:t xml:space="preserve"> </w:t>
      </w:r>
      <w:r>
        <w:t xml:space="preserve">University Lecturer</w:t>
      </w:r>
      <w:r>
        <w:t xml:space="preserve"> </w:t>
      </w:r>
      <w:r>
        <w:t xml:space="preserve">Within the Academic Landscape of the</w:t>
      </w:r>
      <w:r>
        <w:t xml:space="preserve"> </w:t>
      </w:r>
      <w:r>
        <w:t xml:space="preserve">United Arab Emirates Abu Dhabi</w:t>
      </w:r>
    </w:p>
    <w:bookmarkStart w:id="20" w:name="executive-summary"/>
    <w:p>
      <w:pPr>
        <w:pStyle w:val="FirstParagraph"/>
      </w:pPr>
      <w:r>
        <w:t xml:space="preserve">This comprehensive academic document functions as a formal</w:t>
      </w:r>
      <w:r>
        <w:t xml:space="preserve"> </w:t>
      </w:r>
      <w:r>
        <w:rPr>
          <w:bCs/>
          <w:b/>
        </w:rPr>
        <w:t xml:space="preserve">Book Report</w:t>
      </w:r>
      <w:r>
        <w:t xml:space="preserve">, meticulously analyzing the evolving professional identity, pedagogical responsibilities, and institutional expectations surrounding the modern academic faculty. Specifically tailored to examine educational practices within a globally recognized knowledge economy, this analysis centers exclusively on the role of a</w:t>
      </w:r>
      <w:r>
        <w:t xml:space="preserve"> </w:t>
      </w:r>
      <w:r>
        <w:rPr>
          <w:bCs/>
          <w:b/>
        </w:rPr>
        <w:t xml:space="preserve">University Lecturer</w:t>
      </w:r>
      <w:r>
        <w:t xml:space="preserve"> </w:t>
      </w:r>
      <w:r>
        <w:t xml:space="preserve">operating across higher education institutions in the</w:t>
      </w:r>
      <w:r>
        <w:t xml:space="preserve"> </w:t>
      </w:r>
      <w:r>
        <w:rPr>
          <w:bCs/>
          <w:b/>
        </w:rPr>
        <w:t xml:space="preserve">United Arab Emirates Abu Dhabi</w:t>
      </w:r>
      <w:r>
        <w:t xml:space="preserve">. As regional academic policies continue to align with national development frameworks such as UAE Vision 2031 and Abu Dhabi’s Economic Diversification Strategy, the pedagogical landscape has undergone profound structural transformations. This</w:t>
      </w:r>
      <w:r>
        <w:t xml:space="preserve"> </w:t>
      </w:r>
      <w:r>
        <w:rPr>
          <w:bCs/>
          <w:b/>
        </w:rPr>
        <w:t xml:space="preserve">Book Report</w:t>
      </w:r>
      <w:r>
        <w:t xml:space="preserve"> </w:t>
      </w:r>
      <w:r>
        <w:t xml:space="preserve">evaluates how these macro-level strategic initiatives directly influence micro-level classroom practices, research mandates, and cross-cultural academic engagement. By synthesizing contemporary higher education literature with localized institutional guidelines from the</w:t>
      </w:r>
      <w:r>
        <w:t xml:space="preserve"> </w:t>
      </w:r>
      <w:r>
        <w:rPr>
          <w:bCs/>
          <w:b/>
        </w:rPr>
        <w:t xml:space="preserve">United Arab Emirates Abu Dhabi</w:t>
      </w:r>
      <w:r>
        <w:t xml:space="preserve">, this document provides a rigorous scholarly assessment of what it fundamentally means to serve as a</w:t>
      </w:r>
      <w:r>
        <w:t xml:space="preserve"> </w:t>
      </w:r>
      <w:r>
        <w:rPr>
          <w:bCs/>
          <w:b/>
        </w:rPr>
        <w:t xml:space="preserve">University Lecturer</w:t>
      </w:r>
      <w:r>
        <w:t xml:space="preserve"> </w:t>
      </w:r>
      <w:r>
        <w:t xml:space="preserve">in one of the Middle East’s most rapidly advancing educational hubs.</w:t>
      </w:r>
    </w:p>
    <w:bookmarkEnd w:id="20"/>
    <w:bookmarkStart w:id="22" w:name="pedagogical-evolution"/>
    <w:bookmarkStart w:id="21" w:name="X7b98abebd40e53b59586585516e7c922e4f2d85"/>
    <w:p>
      <w:pPr>
        <w:pStyle w:val="Heading2"/>
      </w:pPr>
      <w:r>
        <w:t xml:space="preserve">The Pedagogical Evolution of the University Lecturer</w:t>
      </w:r>
    </w:p>
    <w:p>
      <w:pPr>
        <w:pStyle w:val="FirstParagraph"/>
      </w:pPr>
      <w:r>
        <w:t xml:space="preserve">A primary objective of this</w:t>
      </w:r>
      <w:r>
        <w:t xml:space="preserve"> </w:t>
      </w:r>
      <w:r>
        <w:rPr>
          <w:bCs/>
          <w:b/>
        </w:rPr>
        <w:t xml:space="preserve">Book Report</w:t>
      </w:r>
      <w:r>
        <w:t xml:space="preserve"> </w:t>
      </w:r>
      <w:r>
        <w:t xml:space="preserve">is to trace the historical and contemporary trajectory of the academic profession, specifically focusing on how a</w:t>
      </w:r>
      <w:r>
        <w:t xml:space="preserve"> </w:t>
      </w:r>
      <w:r>
        <w:rPr>
          <w:bCs/>
          <w:b/>
        </w:rPr>
        <w:t xml:space="preserve">University Lecturer</w:t>
      </w:r>
      <w:r>
        <w:t xml:space="preserve"> </w:t>
      </w:r>
      <w:r>
        <w:t xml:space="preserve">has transitioned from traditional didactic instruction to facilitative, student-centered learning environments. Within the educational ecosystem of the</w:t>
      </w:r>
      <w:r>
        <w:t xml:space="preserve"> </w:t>
      </w:r>
      <w:r>
        <w:rPr>
          <w:bCs/>
          <w:b/>
        </w:rPr>
        <w:t xml:space="preserve">United Arab Emirates Abu Dhabi</w:t>
      </w:r>
      <w:r>
        <w:t xml:space="preserve">, higher education institutions have systematically integrated competency-based curricula, blended learning modules, and digital pedagogy platforms to meet international accreditation standards. Consequently, a modern</w:t>
      </w:r>
      <w:r>
        <w:t xml:space="preserve"> </w:t>
      </w:r>
      <w:r>
        <w:rPr>
          <w:bCs/>
          <w:b/>
        </w:rPr>
        <w:t xml:space="preserve">University Lecturer</w:t>
      </w:r>
      <w:r>
        <w:t xml:space="preserve"> </w:t>
      </w:r>
      <w:r>
        <w:t xml:space="preserve">must demonstrate proficiency in learning management systems, utilize data-driven assessment strategies, and continuously update instructional materials to reflect global academic benchmarks. This shift demands that every</w:t>
      </w:r>
      <w:r>
        <w:t xml:space="preserve"> </w:t>
      </w:r>
      <w:r>
        <w:rPr>
          <w:bCs/>
          <w:b/>
        </w:rPr>
        <w:t xml:space="preserve">University Lecturer</w:t>
      </w:r>
      <w:r>
        <w:t xml:space="preserve"> </w:t>
      </w:r>
      <w:r>
        <w:t xml:space="preserve">commit to lifelong professional development, engaging regularly with educational workshops, peer-review cycles, and curriculum design seminars sponsored by regional academic authorities in the</w:t>
      </w:r>
      <w:r>
        <w:t xml:space="preserve"> </w:t>
      </w:r>
      <w:r>
        <w:rPr>
          <w:bCs/>
          <w:b/>
        </w:rPr>
        <w:t xml:space="preserve">United Arab Emirates Abu Dhabi</w:t>
      </w:r>
      <w:r>
        <w:t xml:space="preserve">. The synthesis of technology-enhanced instruction and rigorous scholarly expectations fundamentally redefines how a</w:t>
      </w:r>
      <w:r>
        <w:t xml:space="preserve"> </w:t>
      </w:r>
      <w:r>
        <w:rPr>
          <w:bCs/>
          <w:b/>
        </w:rPr>
        <w:t xml:space="preserve">University Lecturer</w:t>
      </w:r>
      <w:r>
        <w:t xml:space="preserve"> </w:t>
      </w:r>
      <w:r>
        <w:t xml:space="preserve">delivers content, assesses student progress, and fosters critical thinking within the classroom.</w:t>
      </w:r>
    </w:p>
    <w:bookmarkEnd w:id="21"/>
    <w:bookmarkEnd w:id="22"/>
    <w:bookmarkStart w:id="24" w:name="cultural-institutional-context"/>
    <w:bookmarkStart w:id="23" w:name="Xbe5f8a5aec53bb88e02737f55766e2d42a05940"/>
    <w:p>
      <w:pPr>
        <w:pStyle w:val="Heading2"/>
      </w:pPr>
      <w:r>
        <w:t xml:space="preserve">Cultural Integration and Institutional Frameworks in United Arab Emirates Abu Dhabi</w:t>
      </w:r>
    </w:p>
    <w:p>
      <w:pPr>
        <w:pStyle w:val="FirstParagraph"/>
      </w:pPr>
      <w:r>
        <w:t xml:space="preserve">No thorough academic evaluation can adequately assess the teaching profession without acknowledging the distinctive cultural, regulatory, and socio-economic environment that shapes daily academic operations. This</w:t>
      </w:r>
      <w:r>
        <w:t xml:space="preserve"> </w:t>
      </w:r>
      <w:r>
        <w:rPr>
          <w:bCs/>
          <w:b/>
        </w:rPr>
        <w:t xml:space="preserve">Book Report</w:t>
      </w:r>
      <w:r>
        <w:t xml:space="preserve"> </w:t>
      </w:r>
      <w:r>
        <w:t xml:space="preserve">emphasizes that a</w:t>
      </w:r>
      <w:r>
        <w:t xml:space="preserve"> </w:t>
      </w:r>
      <w:r>
        <w:rPr>
          <w:bCs/>
          <w:b/>
        </w:rPr>
        <w:t xml:space="preserve">University Lecturer</w:t>
      </w:r>
      <w:r>
        <w:t xml:space="preserve"> </w:t>
      </w:r>
      <w:r>
        <w:t xml:space="preserve">functioning within the</w:t>
      </w:r>
      <w:r>
        <w:t xml:space="preserve"> </w:t>
      </w:r>
      <w:r>
        <w:rPr>
          <w:bCs/>
          <w:b/>
        </w:rPr>
        <w:t xml:space="preserve">United Arab Emirates Abu Dhabi</w:t>
      </w:r>
      <w:r>
        <w:t xml:space="preserve"> </w:t>
      </w:r>
      <w:r>
        <w:t xml:space="preserve">must navigate a highly multicultural academic community while strictly adhering to local cultural norms, Islamic ethical guidelines, and federal educational regulations. Institutions in this emirate host faculty members from numerous continents, requiring a</w:t>
      </w:r>
      <w:r>
        <w:t xml:space="preserve"> </w:t>
      </w:r>
      <w:r>
        <w:rPr>
          <w:bCs/>
          <w:b/>
        </w:rPr>
        <w:t xml:space="preserve">University Lecturer</w:t>
      </w:r>
      <w:r>
        <w:t xml:space="preserve"> </w:t>
      </w:r>
      <w:r>
        <w:t xml:space="preserve">to demonstrate exceptional cross-cultural communication skills, adaptive teaching methodologies, and intercultural classroom management strategies. Furthermore, the academic infrastructure of the</w:t>
      </w:r>
      <w:r>
        <w:t xml:space="preserve"> </w:t>
      </w:r>
      <w:r>
        <w:rPr>
          <w:bCs/>
          <w:b/>
        </w:rPr>
        <w:t xml:space="preserve">United Arab Emirates Abu Dhabi</w:t>
      </w:r>
      <w:r>
        <w:t xml:space="preserve"> </w:t>
      </w:r>
      <w:r>
        <w:t xml:space="preserve">mandates strict compliance with quality assurance protocols established by federal ministries and independent accreditation bodies. A</w:t>
      </w:r>
      <w:r>
        <w:t xml:space="preserve"> </w:t>
      </w:r>
      <w:r>
        <w:rPr>
          <w:bCs/>
          <w:b/>
        </w:rPr>
        <w:t xml:space="preserve">University Lecturer</w:t>
      </w:r>
      <w:r>
        <w:t xml:space="preserve"> </w:t>
      </w:r>
      <w:r>
        <w:t xml:space="preserve">must therefore balance international scholarly publishing requirements with localized research priorities that address regional challenges such as sustainable energy, biomedical innovation, artificial intelligence governance, and heritage preservation. This dual alignment ensures that academic output remains globally competitive while directly contributing to the developmental objectives of the</w:t>
      </w:r>
      <w:r>
        <w:t xml:space="preserve"> </w:t>
      </w:r>
      <w:r>
        <w:rPr>
          <w:bCs/>
          <w:b/>
        </w:rPr>
        <w:t xml:space="preserve">United Arab Emirates Abu Dhabi</w:t>
      </w:r>
      <w:r>
        <w:t xml:space="preserve">.</w:t>
      </w:r>
    </w:p>
    <w:bookmarkEnd w:id="23"/>
    <w:bookmarkEnd w:id="24"/>
    <w:bookmarkStart w:id="26" w:name="challenges-opportunities"/>
    <w:bookmarkStart w:id="25" w:name="Xcf6b60950b64f262850b24d776c3b5917116b20"/>
    <w:p>
      <w:pPr>
        <w:pStyle w:val="Heading2"/>
      </w:pPr>
      <w:r>
        <w:t xml:space="preserve">Professional Challenges and Strategic Opportunities</w:t>
      </w:r>
    </w:p>
    <w:p>
      <w:pPr>
        <w:pStyle w:val="FirstParagraph"/>
      </w:pPr>
      <w:r>
        <w:t xml:space="preserve">The critical analysis presented in this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the United Arab Emirates Abu Dhabi</dc:title>
  <dc:creator/>
  <dc:language>en</dc:language>
  <cp:keywords/>
  <dcterms:created xsi:type="dcterms:W3CDTF">2026-07-29T21:34:13Z</dcterms:created>
  <dcterms:modified xsi:type="dcterms:W3CDTF">2026-07-29T21:34:13Z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