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Book Report</w:t>
      </w:r>
    </w:p>
    <w:p>
      <w:pPr>
        <w:pStyle w:val="BodyText"/>
      </w:pPr>
      <w:r>
        <w:br/>
      </w:r>
      <w:r>
        <w:rPr>
          <w:bCs/>
          <w:b/>
        </w:rPr>
        <w:t xml:space="preserve">Title:</w:t>
      </w:r>
      <w:r>
        <w:t xml:space="preserve"> </w:t>
      </w:r>
      <w:r>
        <w:t xml:space="preserve">Navigating Academia in the Heart of England: A Comprehensive Analysis of the University Lecturer Role in United Kingdom Birmingham</w:t>
      </w:r>
      <w:r>
        <w:br/>
      </w:r>
    </w:p>
    <w:p>
      <w:pPr>
        <w:pStyle w:val="BodyText"/>
      </w:pPr>
      <w:r>
        <w:t xml:space="preserve">The following report synthesizes various academic literature, policy documents, and sociological studies regarding the professional duties, challenges, and cultural significance of being a</w:t>
      </w:r>
      <w:r>
        <w:t xml:space="preserve"> </w:t>
      </w:r>
      <w:r>
        <w:rPr>
          <w:bCs/>
          <w:b/>
        </w:rPr>
        <w:t xml:space="preserve">University Lecturer</w:t>
      </w:r>
      <w:r>
        <w:t xml:space="preserve">, with specific contextual focus on the dynamic educational landscape of</w:t>
      </w:r>
      <w:r>
        <w:t xml:space="preserve"> </w:t>
      </w:r>
      <w:r>
        <w:rPr>
          <w:bCs/>
          <w:b/>
        </w:rPr>
        <w:t xml:space="preserve">United Kingdom Birmingham</w:t>
      </w:r>
      <w:r>
        <w:t xml:space="preserve">.</w:t>
      </w:r>
      <w:r>
        <w:br/>
      </w:r>
      <w:r>
        <w:br/>
      </w:r>
    </w:p>
    <w:bookmarkStart w:id="20" w:name="introduction-the-contextual-framework"/>
    <w:p>
      <w:pPr>
        <w:pStyle w:val="Heading2"/>
      </w:pPr>
      <w:r>
        <w:t xml:space="preserve">1. Introduction: The Contextual Framework</w:t>
      </w:r>
      <w:r>
        <w:br/>
      </w:r>
    </w:p>
    <w:p>
      <w:pPr>
        <w:pStyle w:val="FirstParagraph"/>
      </w:pPr>
      <w:r>
        <w:t xml:space="preserve">The role of a university lecturer has undergone significant transformation over the past few decades, shifting from a purely pedagogical and research-focused position to one that demands extensive administrative, pastoral, and commercial engagement. This book report examines the multifaceted nature of this profession through the specific lens of</w:t>
      </w:r>
      <w:r>
        <w:t xml:space="preserve"> </w:t>
      </w:r>
      <w:r>
        <w:rPr>
          <w:bCs/>
          <w:b/>
        </w:rPr>
        <w:t xml:space="preserve">United Kingdom Birmingham</w:t>
      </w:r>
      <w:r>
        <w:t xml:space="preserve">, a city renowned for its rich industrial heritage, diverse population, and status as a major hub for higher education in the Midlands. The analysis explores how local socio-economic factors in Birmingham influence the daily realities of academic life and how these realities reflect broader trends within</w:t>
      </w:r>
      <w:r>
        <w:t xml:space="preserve"> </w:t>
      </w:r>
      <w:r>
        <w:rPr>
          <w:bCs/>
          <w:b/>
        </w:rPr>
        <w:t xml:space="preserve">United Kingdom</w:t>
      </w:r>
      <w:r>
        <w:t xml:space="preserve"> </w:t>
      </w:r>
      <w:r>
        <w:t xml:space="preserve">higher education policy.</w:t>
      </w:r>
      <w:r>
        <w:br/>
      </w:r>
      <w:r>
        <w:br/>
      </w:r>
    </w:p>
    <w:bookmarkEnd w:id="20"/>
    <w:bookmarkStart w:id="21" w:name="the-dual-mandate-teaching-and-research"/>
    <w:p>
      <w:pPr>
        <w:pStyle w:val="Heading2"/>
      </w:pPr>
      <w:r>
        <w:t xml:space="preserve">2. The Dual Mandate: Teaching and Research</w:t>
      </w:r>
      <w:r>
        <w:br/>
      </w:r>
    </w:p>
    <w:p>
      <w:pPr>
        <w:pStyle w:val="FirstParagraph"/>
      </w:pPr>
      <w:r>
        <w:t xml:space="preserve">A central theme in contemporary literature regarding the</w:t>
      </w:r>
      <w:r>
        <w:t xml:space="preserve"> </w:t>
      </w:r>
      <w:r>
        <w:rPr>
          <w:bCs/>
          <w:b/>
        </w:rPr>
        <w:t xml:space="preserve">University Lecturer</w:t>
      </w:r>
      <w:r>
        <w:t xml:space="preserve"> </w:t>
      </w:r>
      <w:r>
        <w:t xml:space="preserve">is the "dual mandate" of teaching excellence and research impact. In Birmingham, this balance is particularly complex due to the presence of major institutions such as the University of Birmingham, Aston University, and Birmingham City University. These institutions serve vastly different student demographics, ranging from traditional undergraduates to mature students returning to education.</w:t>
      </w:r>
      <w:r>
        <w:br/>
      </w:r>
      <w:r>
        <w:br/>
      </w:r>
    </w:p>
    <w:p>
      <w:pPr>
        <w:pStyle w:val="BodyText"/>
      </w:pPr>
      <w:r>
        <w:t xml:space="preserve">According to recent pedagogical studies cited in various reports on UK higher education, lecturers in</w:t>
      </w:r>
      <w:r>
        <w:t xml:space="preserve"> </w:t>
      </w:r>
      <w:r>
        <w:rPr>
          <w:bCs/>
          <w:b/>
        </w:rPr>
        <w:t xml:space="preserve">United Kingdom</w:t>
      </w:r>
      <w:r>
        <w:t xml:space="preserve"> </w:t>
      </w:r>
      <w:r>
        <w:t xml:space="preserve">universities are under immense pressure to produce high-impact research while simultaneously managing large class sizes. In Birmingham, the emphasis is often placed on applied research and industry collaboration, reflecting the city's strong ties to manufacturing, engineering, and healthcare sectors. A lecturer here cannot simply retreat into theoretical ivory towers; they are expected to demonstrate how their academic work contributes to local economic growth and social mobility.</w:t>
      </w:r>
      <w:r>
        <w:br/>
      </w:r>
      <w:r>
        <w:br/>
      </w:r>
    </w:p>
    <w:bookmarkEnd w:id="21"/>
    <w:bookmarkStart w:id="22" w:name="X9a1a479216128e82c8b1d15b0a014213ad3923d"/>
    <w:p>
      <w:pPr>
        <w:pStyle w:val="Heading2"/>
      </w:pPr>
      <w:r>
        <w:t xml:space="preserve">3. The Birmingham Factor: Diversity and Inclusion</w:t>
      </w:r>
      <w:r>
        <w:br/>
      </w:r>
    </w:p>
    <w:p>
      <w:pPr>
        <w:pStyle w:val="FirstParagraph"/>
      </w:pPr>
      <w:r>
        <w:t xml:space="preserve">One of the most distinct aspects of being a</w:t>
      </w:r>
      <w:r>
        <w:t xml:space="preserve"> </w:t>
      </w:r>
      <w:r>
        <w:rPr>
          <w:bCs/>
          <w:b/>
        </w:rPr>
        <w:t xml:space="preserve">University Lecturer</w:t>
      </w:r>
      <w:r>
        <w:t xml:space="preserve"> </w:t>
      </w:r>
      <w:r>
        <w:t xml:space="preserve">in this region is the cultural context.</w:t>
      </w:r>
      <w:r>
        <w:t xml:space="preserve"> </w:t>
      </w:r>
      <w:r>
        <w:rPr>
          <w:bCs/>
          <w:b/>
        </w:rPr>
        <w:t xml:space="preserve">Birmingham</w:t>
      </w:r>
      <w:r>
        <w:t xml:space="preserve">, often referred to as "the second city," is one of the most diverse cities in Europe. This diversity profoundly impacts classroom dynamics and curriculum design.</w:t>
      </w:r>
      <w:r>
        <w:br/>
      </w:r>
      <w:r>
        <w:br/>
      </w:r>
    </w:p>
    <w:p>
      <w:pPr>
        <w:pStyle w:val="BodyText"/>
      </w:pPr>
      <w:r>
        <w:t xml:space="preserve">Literature on multicultural education highlights that lecturers must be culturally competent, capable of engaging students from a myriad of backgrounds, including significant communities with South Asian, Caribbean, African, and Eastern European heritage. The report emphasizes that successful</w:t>
      </w:r>
      <w:r>
        <w:t xml:space="preserve"> </w:t>
      </w:r>
      <w:r>
        <w:rPr>
          <w:bCs/>
          <w:b/>
        </w:rPr>
        <w:t xml:space="preserve">University Lecturer</w:t>
      </w:r>
      <w:r>
        <w:t xml:space="preserve">s in Birmingham are those who can decolonize their curricula and incorporate global perspectives. This is not merely an ethical imperative but a practical necessity for preparing students for a globalized workforce.</w:t>
      </w:r>
      <w:r>
        <w:br/>
      </w:r>
      <w:r>
        <w:br/>
      </w:r>
    </w:p>
    <w:p>
      <w:pPr>
        <w:pStyle w:val="BodyText"/>
      </w:pPr>
      <w:r>
        <w:t xml:space="preserve">Furthermore, the city's history of social activism and industrial struggle informs the political consciousness of many students. Lecturers must navigate sensitive topics with care, fostering critical thinking while maintaining academic neutrality. This requires a level of emotional intelligence and pedagogical skill that goes beyond traditional subject knowledge.</w:t>
      </w:r>
      <w:r>
        <w:br/>
      </w:r>
      <w:r>
        <w:br/>
      </w:r>
    </w:p>
    <w:bookmarkEnd w:id="22"/>
    <w:bookmarkStart w:id="23" w:name="administrative-burden-and-job-insecurity"/>
    <w:p>
      <w:pPr>
        <w:pStyle w:val="Heading2"/>
      </w:pPr>
      <w:r>
        <w:t xml:space="preserve">4. Administrative Burden and Job Insecurity</w:t>
      </w:r>
      <w:r>
        <w:br/>
      </w:r>
    </w:p>
    <w:p>
      <w:pPr>
        <w:pStyle w:val="FirstParagraph"/>
      </w:pPr>
      <w:r>
        <w:t xml:space="preserve">A recurring critique in reports concerning the</w:t>
      </w:r>
      <w:r>
        <w:t xml:space="preserve"> </w:t>
      </w:r>
      <w:r>
        <w:rPr>
          <w:bCs/>
          <w:b/>
        </w:rPr>
        <w:t xml:space="preserve">United Kingdom</w:t>
      </w:r>
      <w:r>
        <w:t xml:space="preserve"> </w:t>
      </w:r>
      <w:r>
        <w:t xml:space="preserve">higher education sector is the increasing administrative burden placed on academics. The "audit culture" introduced by government bodies has led to an explosion in paperwork, quality assurance checks, and student feedback mechanisms. In</w:t>
      </w:r>
      <w:r>
        <w:t xml:space="preserve"> </w:t>
      </w:r>
      <w:r>
        <w:rPr>
          <w:bCs/>
          <w:b/>
        </w:rPr>
        <w:t xml:space="preserve">Birmingham</w:t>
      </w:r>
      <w:r>
        <w:t xml:space="preserve">, where competition among universities for international students is fierce, this pressure is exacerbated.</w:t>
      </w:r>
      <w:r>
        <w:br/>
      </w:r>
      <w:r>
        <w:br/>
      </w:r>
    </w:p>
    <w:p>
      <w:pPr>
        <w:pStyle w:val="BodyText"/>
      </w:pPr>
      <w:r>
        <w:t xml:space="preserve">The report notes a growing reliance on fixed-term contracts and casualization of the workforce. Many young academics start their careers as sessional lecturers before securing permanent posts. This precarity affects mental health and job satisfaction. Lecturers often report spending more time on compliance than on curriculum development or student mentoring.</w:t>
      </w:r>
      <w:r>
        <w:br/>
      </w:r>
      <w:r>
        <w:br/>
      </w:r>
    </w:p>
    <w:bookmarkEnd w:id="23"/>
    <w:bookmarkStart w:id="24" w:name="community-engagement-and-public-service"/>
    <w:p>
      <w:pPr>
        <w:pStyle w:val="Heading2"/>
      </w:pPr>
      <w:r>
        <w:t xml:space="preserve">5. Community Engagement and Public Service</w:t>
      </w:r>
      <w:r>
        <w:br/>
      </w:r>
    </w:p>
    <w:p>
      <w:pPr>
        <w:pStyle w:val="FirstParagraph"/>
      </w:pPr>
      <w:r>
        <w:t xml:space="preserve">In</w:t>
      </w:r>
      <w:r>
        <w:t xml:space="preserve"> </w:t>
      </w:r>
      <w:r>
        <w:rPr>
          <w:bCs/>
          <w:b/>
        </w:rPr>
        <w:t xml:space="preserve">United Kingdom Birmingham</w:t>
      </w:r>
      <w:r>
        <w:t xml:space="preserve">, the concept of the "engaged university" is particularly strong. Lecturers are encouraged to take their expertise out of the campus and into the community. This manifests in various ways, from public lectures at local libraries to partnerships with local schools and charities.</w:t>
      </w:r>
      <w:r>
        <w:br/>
      </w:r>
      <w:r>
        <w:br/>
      </w:r>
    </w:p>
    <w:p>
      <w:pPr>
        <w:pStyle w:val="BodyText"/>
      </w:pPr>
      <w:r>
        <w:t xml:space="preserve">This aspect of the</w:t>
      </w:r>
      <w:r>
        <w:t xml:space="preserve"> </w:t>
      </w:r>
      <w:r>
        <w:rPr>
          <w:bCs/>
          <w:b/>
        </w:rPr>
        <w:t xml:space="preserve">University Lecturer</w:t>
      </w:r>
      <w:r>
        <w:t xml:space="preserve">'s role adds a significant layer to their professional identity. They are not just educators but also public intellectuals and community partners. For example, law lecturers may provide pro bono advice clinics, while health sciences lecturers may run public wellness programs in underserved neighborhoods of Birmingham. This civic engagement enriches the academic experience and fosters a sense of purpose that counters the isolation often felt in purely research-focused roles.</w:t>
      </w:r>
      <w:r>
        <w:br/>
      </w:r>
      <w:r>
        <w:br/>
      </w:r>
    </w:p>
    <w:bookmarkEnd w:id="24"/>
    <w:bookmarkStart w:id="25" w:name="X82ce85364fcfe5447fa03b821a7aa0b89bb3998"/>
    <w:p>
      <w:pPr>
        <w:pStyle w:val="Heading2"/>
      </w:pPr>
      <w:r>
        <w:t xml:space="preserve">6. Technological Integration and Digital Pedagogy</w:t>
      </w:r>
      <w:r>
        <w:br/>
      </w:r>
    </w:p>
    <w:p>
      <w:pPr>
        <w:pStyle w:val="FirstParagraph"/>
      </w:pPr>
      <w:r>
        <w:t xml:space="preserve">The post-pandemic landscape has forced a rapid acceleration in digital learning. For</w:t>
      </w:r>
      <w:r>
        <w:t xml:space="preserve"> </w:t>
      </w:r>
      <w:r>
        <w:rPr>
          <w:bCs/>
          <w:b/>
        </w:rPr>
        <w:t xml:space="preserve">University Lecturer</w:t>
      </w:r>
      <w:r>
        <w:t xml:space="preserve">s in</w:t>
      </w:r>
      <w:r>
        <w:t xml:space="preserve"> </w:t>
      </w:r>
      <w:r>
        <w:rPr>
          <w:bCs/>
          <w:b/>
        </w:rPr>
        <w:t xml:space="preserve">United Kingdom Birmingham</w:t>
      </w:r>
      <w:r>
        <w:t xml:space="preserve">, mastering online teaching platforms, virtual reality simulations, and digital collaboration tools is no longer optional. The report highlights that effective lecturers are those who can blend traditional face-to-face interaction with robust online support.</w:t>
      </w:r>
      <w:r>
        <w:br/>
      </w:r>
      <w:r>
        <w:br/>
      </w:r>
    </w:p>
    <w:p>
      <w:pPr>
        <w:pStyle w:val="BodyText"/>
      </w:pPr>
      <w:r>
        <w:t xml:space="preserve">Birmingham’s tech hub status also means that lecturers in computer science and media studies have unique opportunities to integrate industry-standard software into their teaching. However, this requires continuous professional development and often additional funding, which is not always readily available. The digital divide remains a concern, with some students lacking adequate access to technology at home, requiring lecturers to adopt flexible assessment strategies.</w:t>
      </w:r>
      <w:r>
        <w:br/>
      </w:r>
      <w:r>
        <w:br/>
      </w:r>
    </w:p>
    <w:bookmarkEnd w:id="25"/>
    <w:bookmarkStart w:id="27" w:name="Xba2cf9c03af2fc1901a99c20b0681a87d60db72"/>
    <w:p>
      <w:pPr>
        <w:pStyle w:val="Heading2"/>
      </w:pPr>
      <w:r>
        <w:t xml:space="preserve">7. Conclusion: The Future of Academic Identity</w:t>
      </w:r>
      <w:r>
        <w:br/>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United Kingdom Birmingham</w:t>
      </w:r>
      <w:r>
        <w:t xml:space="preserve"> </w:t>
      </w:r>
      <w:r>
        <w:t xml:space="preserve">is complex, demanding, and deeply impactful. It is not merely a job but a vocation that requires resilience, adaptability, and a strong commitment to social justice. The specific context of Birmingham—with its diversity, industrial roots, and educational ambition—shapes the way academics work.</w:t>
      </w:r>
      <w:r>
        <w:br/>
      </w:r>
      <w:r>
        <w:br/>
      </w:r>
    </w:p>
    <w:p>
      <w:pPr>
        <w:pStyle w:val="BodyText"/>
      </w:pPr>
      <w:r>
        <w:t xml:space="preserve">The findings suggest that while challenges such as job insecurity and administrative overload are prevalent across the</w:t>
      </w:r>
      <w:r>
        <w:t xml:space="preserve"> </w:t>
      </w:r>
      <w:r>
        <w:rPr>
          <w:bCs/>
          <w:b/>
        </w:rPr>
        <w:t xml:space="preserve">United Kingdom</w:t>
      </w:r>
      <w:r>
        <w:t xml:space="preserve">, they manifest in unique ways in Birmingham due to local market dynamics. To support lecturers effectively, institutions must invest in professional development, reduce bureaucratic burdens, and recognize the value of community engagement.</w:t>
      </w:r>
      <w:r>
        <w:br/>
      </w:r>
      <w:r>
        <w:br/>
      </w:r>
    </w:p>
    <w:p>
      <w:pPr>
        <w:pStyle w:val="BodyText"/>
      </w:pPr>
      <w:r>
        <w:t xml:space="preserve">Ultimately, the</w:t>
      </w:r>
      <w:r>
        <w:t xml:space="preserve"> </w:t>
      </w:r>
      <w:r>
        <w:rPr>
          <w:bCs/>
          <w:b/>
        </w:rPr>
        <w:t xml:space="preserve">University Lecturer</w:t>
      </w:r>
      <w:r>
        <w:t xml:space="preserve"> </w:t>
      </w:r>
      <w:r>
        <w:t xml:space="preserve">remains a cornerstone of society. In a city as vibrant and diverse as Birmingham, their role is pivotal in shaping informed citizens who are equipped to navigate the complexities of the modern world. Future research should focus on longitudinal studies of lecturer well-being and the long-term impact of community-engaged pedagogy on student outcomes in urban university settings.</w:t>
      </w:r>
      <w:r>
        <w:br/>
      </w:r>
      <w:r>
        <w:br/>
      </w:r>
    </w:p>
    <w:bookmarkStart w:id="26" w:name="references-simulated-for-report-context"/>
    <w:p>
      <w:pPr>
        <w:pStyle w:val="Heading3"/>
      </w:pPr>
      <w:r>
        <w:t xml:space="preserve">References (Simulated for Report Context)</w:t>
      </w:r>
      <w:r>
        <w:br/>
      </w:r>
    </w:p>
    <w:p>
      <w:pPr>
        <w:numPr>
          <w:ilvl w:val="0"/>
          <w:numId w:val="1001"/>
        </w:numPr>
        <w:pStyle w:val="Compact"/>
      </w:pPr>
      <w:r>
        <w:t xml:space="preserve">HESA (Higher Education Statistics Agency).</w:t>
      </w:r>
      <w:r>
        <w:t xml:space="preserve"> </w:t>
      </w:r>
      <w:r>
        <w:rPr>
          <w:iCs/>
          <w:i/>
        </w:rPr>
        <w:t xml:space="preserve">Staff and Qualifications Survey</w:t>
      </w:r>
      <w:r>
        <w:t xml:space="preserve">. United Kingdom.</w:t>
      </w:r>
    </w:p>
    <w:p>
      <w:pPr>
        <w:numPr>
          <w:ilvl w:val="0"/>
          <w:numId w:val="1001"/>
        </w:numPr>
        <w:pStyle w:val="Compact"/>
      </w:pPr>
      <w:r>
        <w:t xml:space="preserve">NUS (National Union of Students).</w:t>
      </w:r>
      <w:r>
        <w:t xml:space="preserve"> </w:t>
      </w:r>
      <w:r>
        <w:rPr>
          <w:iCs/>
          <w:i/>
        </w:rPr>
        <w:t xml:space="preserve">The Student Experience: A National Survey</w:t>
      </w:r>
      <w:r>
        <w:t xml:space="preserve">.</w:t>
      </w:r>
    </w:p>
    <w:p>
      <w:pPr>
        <w:numPr>
          <w:ilvl w:val="0"/>
          <w:numId w:val="1001"/>
        </w:numPr>
        <w:pStyle w:val="Compact"/>
      </w:pPr>
      <w:r>
        <w:t xml:space="preserve">Local Council Reports on Higher Education and Economic Development in Birmingham.</w:t>
      </w:r>
    </w:p>
    <w:p>
      <w:pPr>
        <w:pStyle w:val="FirstParagraph"/>
      </w:pPr>
      <w:r>
        <w:br/>
      </w:r>
    </w:p>
    <w:p>
      <w:pPr>
        <w:pStyle w:val="BodyText"/>
      </w:pPr>
      <w:r>
        <w:rPr>
          <w:bCs/>
          <w:b/>
        </w:rPr>
        <w:t xml:space="preserve">End of Book Report</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 University Lecturer in United Kingdom Birmingham</dc:title>
  <dc:creator/>
  <dc:language>en</dc:language>
  <cp:keywords/>
  <dcterms:created xsi:type="dcterms:W3CDTF">2026-07-29T17:01:05Z</dcterms:created>
  <dcterms:modified xsi:type="dcterms:W3CDTF">2026-07-29T17:01:05Z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