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Title:</w:t>
      </w:r>
      <w:r>
        <w:t xml:space="preserve"> </w:t>
      </w:r>
      <w:r>
        <w:t xml:space="preserve">The Modern University Lecturer in Uzbekistan, Tashkent</w:t>
      </w:r>
      <w:r>
        <w:br/>
      </w:r>
      <w:r>
        <w:rPr>
          <w:bCs/>
          <w:b/>
        </w:rPr>
        <w:t xml:space="preserve">Date:</w:t>
      </w:r>
      <w:r>
        <w:t xml:space="preserve"> </w:t>
      </w:r>
      <w:r>
        <w:t xml:space="preserve">October 26, 2023</w:t>
      </w:r>
      <w:r>
        <w:br/>
      </w:r>
      <w:r>
        <w:rPr>
          <w:bCs/>
          <w:b/>
        </w:rPr>
        <w:t xml:space="preserve">Type:</w:t>
      </w:r>
      <w:r>
        <w:t xml:space="preserve"> </w:t>
      </w:r>
      <w:r>
        <w:t xml:space="preserve">Academic Analysis &amp; Book Report Overview</w:t>
      </w:r>
      <w:r>
        <w:br/>
      </w:r>
    </w:p>
    <w:bookmarkStart w:id="27" w:name="X39b982b84b11ea483a380fcccd9016585abae6e"/>
    <w:p>
      <w:pPr>
        <w:pStyle w:val="Heading1"/>
      </w:pPr>
      <w:r>
        <w:t xml:space="preserve">The Evolution and Impact of the University Lecturer in Uzbekistan, Tashkent</w:t>
      </w:r>
    </w:p>
    <w:bookmarkStart w:id="20" w:name="i.-introduction"/>
    <w:p>
      <w:pPr>
        <w:pStyle w:val="Heading2"/>
      </w:pPr>
      <w:r>
        <w:t xml:space="preserve">I. Introduction</w:t>
      </w:r>
    </w:p>
    <w:p>
      <w:pPr>
        <w:pStyle w:val="FirstParagraph"/>
      </w:pPr>
      <w:r>
        <w:t xml:space="preserve">The academic landscape of Central Asia is undergoing a profound transformation, with its epicenter firmly located in the capital city. This report serves as a comprehensive analysis of the role, responsibilities, and evolving identity of the</w:t>
      </w:r>
      <w:r>
        <w:t xml:space="preserve"> </w:t>
      </w:r>
      <w:r>
        <w:rPr>
          <w:bCs/>
          <w:b/>
        </w:rPr>
        <w:t xml:space="preserve">University Lecturer</w:t>
      </w:r>
      <w:r>
        <w:t xml:space="preserve"> </w:t>
      </w:r>
      <w:r>
        <w:t xml:space="preserve">within the higher education system of</w:t>
      </w:r>
      <w:r>
        <w:t xml:space="preserve"> </w:t>
      </w:r>
      <w:r>
        <w:rPr>
          <w:bCs/>
          <w:b/>
        </w:rPr>
        <w:t xml:space="preserve">Uzbekistan</w:t>
      </w:r>
      <w:r>
        <w:t xml:space="preserve">, specifically focusing on the dynamic environment of</w:t>
      </w:r>
      <w:r>
        <w:t xml:space="preserve"> </w:t>
      </w:r>
      <w:r>
        <w:rPr>
          <w:bCs/>
          <w:b/>
        </w:rPr>
        <w:t xml:space="preserve">Tashkent</w:t>
      </w:r>
      <w:r>
        <w:t xml:space="preserve">. Historically, Soviet-era pedagogical models emphasized strict authoritarianism and rote memorization. However, in recent decades, particularly following the reforms initiated in the late 2010s and continuing into the present day, there has been a paradigm shift toward student-centered learning, critical thinking, and international collaboration. This document explores how</w:t>
      </w:r>
      <w:r>
        <w:t xml:space="preserve"> </w:t>
      </w:r>
      <w:r>
        <w:rPr>
          <w:bCs/>
          <w:b/>
        </w:rPr>
        <w:t xml:space="preserve">University Lecturer</w:t>
      </w:r>
      <w:r>
        <w:t xml:space="preserve"> </w:t>
      </w:r>
      <w:r>
        <w:t xml:space="preserve">professionals in</w:t>
      </w:r>
      <w:r>
        <w:t xml:space="preserve"> </w:t>
      </w:r>
      <w:r>
        <w:rPr>
          <w:bCs/>
          <w:b/>
        </w:rPr>
        <w:t xml:space="preserve">Tashkent</w:t>
      </w:r>
      <w:r>
        <w:t xml:space="preserve"> </w:t>
      </w:r>
      <w:r>
        <w:t xml:space="preserve">are navigating these changes to meet global standards while preserving cultural integrity.</w:t>
      </w:r>
    </w:p>
    <w:bookmarkEnd w:id="20"/>
    <w:bookmarkStart w:id="21" w:name="X5b5810c3ce8b69fe7e51a07a0a7643678143b89"/>
    <w:p>
      <w:pPr>
        <w:pStyle w:val="Heading2"/>
      </w:pPr>
      <w:r>
        <w:t xml:space="preserve">II. The Historical Context of Higher Education in Tashkent</w:t>
      </w:r>
    </w:p>
    <w:p>
      <w:pPr>
        <w:pStyle w:val="FirstParagraph"/>
      </w:pPr>
      <w:r>
        <w:t xml:space="preserve">To understand the current state of the</w:t>
      </w:r>
      <w:r>
        <w:t xml:space="preserve"> </w:t>
      </w:r>
      <w:r>
        <w:rPr>
          <w:bCs/>
          <w:b/>
        </w:rPr>
        <w:t xml:space="preserve">University Lecturer</w:t>
      </w:r>
      <w:r>
        <w:t xml:space="preserve">, one must first appreciate the historical weight carried by institutions in</w:t>
      </w:r>
      <w:r>
        <w:t xml:space="preserve"> </w:t>
      </w:r>
      <w:r>
        <w:rPr>
          <w:bCs/>
          <w:b/>
        </w:rPr>
        <w:t xml:space="preserve">Tashkent</w:t>
      </w:r>
      <w:r>
        <w:t xml:space="preserve">. Cities like Tashkent have long been hubs of Islamic scholarship and, later, Soviet scientific inquiry. The legacy of this dual heritage is evident in the curriculum and teaching methods found in major universities such as Tashkent State University of Law (TSUL), Uzbek National University (NUUZ), and the Asian Institute of Technology.</w:t>
      </w:r>
      <w:r>
        <w:t xml:space="preserve"> </w:t>
      </w:r>
      <w:r>
        <w:t xml:space="preserve">In the past, the</w:t>
      </w:r>
      <w:r>
        <w:t xml:space="preserve"> </w:t>
      </w:r>
      <w:r>
        <w:rPr>
          <w:bCs/>
          <w:b/>
        </w:rPr>
        <w:t xml:space="preserve">University Lecturer</w:t>
      </w:r>
      <w:r>
        <w:t xml:space="preserve"> </w:t>
      </w:r>
      <w:r>
        <w:t xml:space="preserve">was primarily viewed as a transmitter of fixed knowledge. Today, that definition is expanding rapidly. The government’s "New Uzbekistan" strategy places a premium on innovation and global competitiveness, requiring educators to transition from being mere instructors to becoming mentors and researchers who engage with international academic communities.</w:t>
      </w:r>
    </w:p>
    <w:bookmarkEnd w:id="21"/>
    <w:bookmarkStart w:id="22" w:name="Xb8c3f7512cfd95b5884c35a3551831bbc7c2791"/>
    <w:p>
      <w:pPr>
        <w:pStyle w:val="Heading2"/>
      </w:pPr>
      <w:r>
        <w:t xml:space="preserve">III. The Changing Role of the University Lecturer</w:t>
      </w:r>
    </w:p>
    <w:p>
      <w:pPr>
        <w:pStyle w:val="FirstParagraph"/>
      </w:pPr>
      <w:r>
        <w:t xml:space="preserve">The modern</w:t>
      </w:r>
      <w:r>
        <w:t xml:space="preserve"> </w:t>
      </w:r>
      <w:r>
        <w:rPr>
          <w:bCs/>
          <w:b/>
        </w:rPr>
        <w:t xml:space="preserve">University Lecturer</w:t>
      </w:r>
      <w:r>
        <w:t xml:space="preserve"> </w:t>
      </w:r>
      <w:r>
        <w:t xml:space="preserve">in</w:t>
      </w:r>
      <w:r>
        <w:t xml:space="preserve"> </w:t>
      </w:r>
      <w:r>
        <w:rPr>
          <w:bCs/>
          <w:b/>
        </w:rPr>
        <w:t xml:space="preserve">Tashkent</w:t>
      </w:r>
      <w:r>
        <w:t xml:space="preserve"> </w:t>
      </w:r>
      <w:r>
        <w:t xml:space="preserve">faces a multifaceted set of challenges and opportunities.</w:t>
      </w:r>
    </w:p>
    <w:p>
      <w:pPr>
        <w:pStyle w:val="BodyText"/>
      </w:pPr>
      <w:r>
        <w:rPr>
          <w:bCs/>
          <w:b/>
        </w:rPr>
        <w:t xml:space="preserve">A. Pedagogical Shifts:</w:t>
      </w:r>
    </w:p>
    <w:p>
      <w:pPr>
        <w:pStyle w:val="BodyText"/>
      </w:pPr>
      <w:r>
        <w:t xml:space="preserve">Traditional lectures are being supplemented, and sometimes replaced, by seminars, project-based learning, and digital platforms. The</w:t>
      </w:r>
      <w:r>
        <w:t xml:space="preserve"> </w:t>
      </w:r>
      <w:r>
        <w:rPr>
          <w:bCs/>
          <w:b/>
        </w:rPr>
        <w:t xml:space="preserve">University Lecturer</w:t>
      </w:r>
      <w:r>
        <w:t xml:space="preserve"> </w:t>
      </w:r>
      <w:r>
        <w:t xml:space="preserve">is expected to facilitate discussion rather than simply dictate facts. This requires strong soft skills, including communication and empathy, which are increasingly emphasized in teacher training programs across</w:t>
      </w:r>
      <w:r>
        <w:t xml:space="preserve"> </w:t>
      </w:r>
      <w:r>
        <w:rPr>
          <w:bCs/>
          <w:b/>
        </w:rPr>
        <w:t xml:space="preserve">Uzbekistan</w:t>
      </w:r>
      <w:r>
        <w:t xml:space="preserve">.</w:t>
      </w:r>
    </w:p>
    <w:p>
      <w:pPr>
        <w:pStyle w:val="BodyText"/>
      </w:pPr>
      <w:r>
        <w:rPr>
          <w:bCs/>
          <w:b/>
        </w:rPr>
        <w:t xml:space="preserve">B. Research Expectations:</w:t>
      </w:r>
    </w:p>
    <w:p>
      <w:pPr>
        <w:pStyle w:val="BodyText"/>
      </w:pPr>
      <w:r>
        <w:t xml:space="preserve">Unlike previous decades where teaching was the sole priority, contemporary expectations demand that a</w:t>
      </w:r>
      <w:r>
        <w:t xml:space="preserve"> </w:t>
      </w:r>
      <w:r>
        <w:rPr>
          <w:bCs/>
          <w:b/>
        </w:rPr>
        <w:t xml:space="preserve">University Lecturer</w:t>
      </w:r>
      <w:r>
        <w:t xml:space="preserve"> </w:t>
      </w:r>
      <w:r>
        <w:t xml:space="preserve">contribute to scientific research. In</w:t>
      </w:r>
      <w:r>
        <w:t xml:space="preserve"> </w:t>
      </w:r>
      <w:r>
        <w:rPr>
          <w:bCs/>
          <w:b/>
        </w:rPr>
        <w:t xml:space="preserve">Tashkent</w:t>
      </w:r>
      <w:r>
        <w:t xml:space="preserve">, there is a growing pressure to publish in international indexed journals (such as Scopus and Web of Science). This has led to an increase in collaborative projects with universities abroad, positioning</w:t>
      </w:r>
      <w:r>
        <w:t xml:space="preserve"> </w:t>
      </w:r>
      <w:r>
        <w:rPr>
          <w:bCs/>
          <w:b/>
        </w:rPr>
        <w:t xml:space="preserve">Uzbekistan</w:t>
      </w:r>
      <w:r>
        <w:t xml:space="preserve"> </w:t>
      </w:r>
      <w:r>
        <w:t xml:space="preserve">as an emerging participant in the global knowledge economy.</w:t>
      </w:r>
    </w:p>
    <w:p>
      <w:pPr>
        <w:pStyle w:val="BodyText"/>
      </w:pPr>
      <w:r>
        <w:rPr>
          <w:bCs/>
          <w:b/>
        </w:rPr>
        <w:t xml:space="preserve">C. Digital Literacy:</w:t>
      </w:r>
    </w:p>
    <w:p>
      <w:pPr>
        <w:pStyle w:val="BodyText"/>
      </w:pPr>
      <w:r>
        <w:t xml:space="preserve">The integration of Information and Communication Technology (ICT) into education is a hallmark of the new era for</w:t>
      </w:r>
      <w:r>
        <w:t xml:space="preserve"> </w:t>
      </w:r>
      <w:r>
        <w:rPr>
          <w:bCs/>
          <w:b/>
        </w:rPr>
        <w:t xml:space="preserve">University Lecturers</w:t>
      </w:r>
      <w:r>
        <w:t xml:space="preserve">. Whether it is utilizing virtual laboratories, managing online learning management systems, or incorporating artificial intelligence tools, digital competence is no longer optional. In</w:t>
      </w:r>
      <w:r>
        <w:t xml:space="preserve"> </w:t>
      </w:r>
      <w:r>
        <w:rPr>
          <w:bCs/>
          <w:b/>
        </w:rPr>
        <w:t xml:space="preserve">Tashkent</w:t>
      </w:r>
      <w:r>
        <w:t xml:space="preserve">, many universities have upgraded their infrastructure to support these needs, but ongoing professional development remains crucial for senior faculty members adapting to these technological shifts.</w:t>
      </w:r>
    </w:p>
    <w:bookmarkEnd w:id="22"/>
    <w:bookmarkStart w:id="23" w:name="Xf18096f9e6bc611a8b790d131b0a4546b43ae67"/>
    <w:p>
      <w:pPr>
        <w:pStyle w:val="Heading2"/>
      </w:pPr>
      <w:r>
        <w:t xml:space="preserve">IV. Challenges Facing Lecturers in Tashkent</w:t>
      </w:r>
    </w:p>
    <w:p>
      <w:pPr>
        <w:pStyle w:val="FirstParagraph"/>
      </w:pPr>
      <w:r>
        <w:t xml:space="preserve">Despite significant progress, the journey of the</w:t>
      </w:r>
      <w:r>
        <w:t xml:space="preserve"> </w:t>
      </w:r>
      <w:r>
        <w:rPr>
          <w:bCs/>
          <w:b/>
        </w:rPr>
        <w:t xml:space="preserve">University Lecturer</w:t>
      </w:r>
      <w:r>
        <w:t xml:space="preserve"> </w:t>
      </w:r>
      <w:r>
        <w:t xml:space="preserve">in</w:t>
      </w:r>
      <w:r>
        <w:t xml:space="preserve"> </w:t>
      </w:r>
      <w:r>
        <w:rPr>
          <w:bCs/>
          <w:b/>
        </w:rPr>
        <w:t xml:space="preserve">Tashkent</w:t>
      </w:r>
      <w:r>
        <w:t xml:space="preserve"> </w:t>
      </w:r>
      <w:r>
        <w:t xml:space="preserve">is not without obstacles. One of the primary challenges is the resource gap between state-funded institutions and newly established private universities or international branches. While salaries for academic staff have improved, they often lag behind inflation and do not always reflect the increased workload associated with research requirements.</w:t>
      </w:r>
      <w:r>
        <w:t xml:space="preserve"> </w:t>
      </w:r>
      <w:r>
        <w:t xml:space="preserve">Furthermore, there is a linguistic challenge. As</w:t>
      </w:r>
      <w:r>
        <w:t xml:space="preserve"> </w:t>
      </w:r>
      <w:r>
        <w:rPr>
          <w:bCs/>
          <w:b/>
        </w:rPr>
        <w:t xml:space="preserve">Uzbekistan</w:t>
      </w:r>
      <w:r>
        <w:t xml:space="preserve"> </w:t>
      </w:r>
      <w:r>
        <w:t xml:space="preserve">seeks to integrate into the global market, English proficiency among both students and faculty is becoming increasingly important. Many</w:t>
      </w:r>
      <w:r>
        <w:t xml:space="preserve"> </w:t>
      </w:r>
      <w:r>
        <w:rPr>
          <w:bCs/>
          <w:b/>
        </w:rPr>
        <w:t xml:space="preserve">University Lecturers</w:t>
      </w:r>
      <w:r>
        <w:t xml:space="preserve"> </w:t>
      </w:r>
      <w:r>
        <w:t xml:space="preserve">in specialized fields such as IT, medicine, and engineering must now teach complex technical concepts in English or bilingual formats. This requires substantial additional training and adaptation for educators who were trained primarily in Russian or Uzbek during the Soviet era.</w:t>
      </w:r>
      <w:r>
        <w:t xml:space="preserve"> </w:t>
      </w:r>
      <w:r>
        <w:t xml:space="preserve">Another cultural challenge is the shift from a hierarchical academic culture to one that encourages critical debate. Students are becoming more vocal and questioning, which can be unsettling for faculty accustomed to traditional respect structures. The</w:t>
      </w:r>
      <w:r>
        <w:t xml:space="preserve"> </w:t>
      </w:r>
      <w:r>
        <w:rPr>
          <w:bCs/>
          <w:b/>
        </w:rPr>
        <w:t xml:space="preserve">University Lecturer</w:t>
      </w:r>
      <w:r>
        <w:t xml:space="preserve"> </w:t>
      </w:r>
      <w:r>
        <w:t xml:space="preserve">must therefore act as a cultural bridge, fostering an environment where intellectual freedom coexists with professional discipline.</w:t>
      </w:r>
    </w:p>
    <w:bookmarkEnd w:id="23"/>
    <w:bookmarkStart w:id="24" w:name="v.-opportunities-and-future-outlook"/>
    <w:p>
      <w:pPr>
        <w:pStyle w:val="Heading2"/>
      </w:pPr>
      <w:r>
        <w:t xml:space="preserve">V. Opportunities and Future Outlook</w:t>
      </w:r>
    </w:p>
    <w:p>
      <w:pPr>
        <w:pStyle w:val="FirstParagraph"/>
      </w:pPr>
      <w:r>
        <w:t xml:space="preserve">The future looks promising for the</w:t>
      </w:r>
      <w:r>
        <w:t xml:space="preserve"> </w:t>
      </w:r>
      <w:r>
        <w:rPr>
          <w:bCs/>
          <w:b/>
        </w:rPr>
        <w:t xml:space="preserve">University Lecturer</w:t>
      </w:r>
      <w:r>
        <w:t xml:space="preserve"> </w:t>
      </w:r>
      <w:r>
        <w:t xml:space="preserve">in</w:t>
      </w:r>
      <w:r>
        <w:t xml:space="preserve"> </w:t>
      </w:r>
      <w:r>
        <w:rPr>
          <w:bCs/>
          <w:b/>
        </w:rPr>
        <w:t xml:space="preserve">Tashkent</w:t>
      </w:r>
      <w:r>
        <w:t xml:space="preserve">. The government’s commitment to education is evident in the construction of new modern campuses and the establishment of joint programs with prestigious foreign universities. These partnerships offer unique opportunities for professional exchange, allowing local lecturers to study abroad and bring back best practices.</w:t>
      </w:r>
      <w:r>
        <w:t xml:space="preserve"> </w:t>
      </w:r>
      <w:r>
        <w:t xml:space="preserve">Moreover, the focus on vocational training and STEM (Science, Technology, Engineering, and Mathematics) subjects creates high demand for specialized</w:t>
      </w:r>
      <w:r>
        <w:t xml:space="preserve"> </w:t>
      </w:r>
      <w:r>
        <w:rPr>
          <w:bCs/>
          <w:b/>
        </w:rPr>
        <w:t xml:space="preserve">University Lecturers</w:t>
      </w:r>
      <w:r>
        <w:t xml:space="preserve">. There is a tangible sense of purpose in Tashkent’s academic community as educators realize they are shaping the next generation of leaders who will drive</w:t>
      </w:r>
      <w:r>
        <w:t xml:space="preserve"> </w:t>
      </w:r>
      <w:r>
        <w:rPr>
          <w:bCs/>
          <w:b/>
        </w:rPr>
        <w:t xml:space="preserve">Uzbekistan</w:t>
      </w:r>
      <w:r>
        <w:t xml:space="preserve">’s economic diversification.</w:t>
      </w:r>
    </w:p>
    <w:bookmarkEnd w:id="24"/>
    <w:bookmarkStart w:id="25" w:name="vi.-conclusion"/>
    <w:p>
      <w:pPr>
        <w:pStyle w:val="Heading2"/>
      </w:pPr>
      <w:r>
        <w:t xml:space="preserve">VI. Conclusion</w:t>
      </w:r>
    </w:p>
    <w:p>
      <w:pPr>
        <w:pStyle w:val="FirstParagraph"/>
      </w:pPr>
      <w:r>
        <w:t xml:space="preserve">In conclusion, the profile of the</w:t>
      </w:r>
      <w:r>
        <w:t xml:space="preserve"> </w:t>
      </w:r>
      <w:r>
        <w:rPr>
          <w:bCs/>
          <w:b/>
        </w:rPr>
        <w:t xml:space="preserve">University Lecturer</w:t>
      </w:r>
      <w:r>
        <w:t xml:space="preserve"> </w:t>
      </w:r>
      <w:r>
        <w:t xml:space="preserve">in</w:t>
      </w:r>
      <w:r>
        <w:t xml:space="preserve"> </w:t>
      </w:r>
      <w:r>
        <w:rPr>
          <w:bCs/>
          <w:b/>
        </w:rPr>
        <w:t xml:space="preserve">Tashkent</w:t>
      </w:r>
      <w:r>
        <w:t xml:space="preserve">,</w:t>
      </w:r>
      <w:r>
        <w:t xml:space="preserve"> </w:t>
      </w:r>
      <w:r>
        <w:rPr>
          <w:bCs/>
          <w:b/>
        </w:rPr>
        <w:t xml:space="preserve">Uzbekistan, is undergoing a radical metamorphosis. No longer confined to the traditional role of knowledge dispenser, today’s educator is a researcher, a technologist, and an international collaborator. While challenges regarding resources, language skills, and cultural adaptation persist, the trajectory of higher education in</w:t>
      </w:r>
      <w:r>
        <w:rPr>
          <w:bCs/>
          <w:b/>
        </w:rPr>
        <w:t xml:space="preserve"> </w:t>
      </w:r>
      <w:r>
        <w:rPr>
          <w:bCs/>
          <w:b/>
          <w:bCs/>
          <w:b/>
        </w:rPr>
        <w:t xml:space="preserve">Tashkent</w:t>
      </w:r>
      <w:r>
        <w:rPr>
          <w:bCs/>
          <w:b/>
        </w:rPr>
        <w:t xml:space="preserve"> </w:t>
      </w:r>
      <w:r>
        <w:rPr>
          <w:bCs/>
          <w:b/>
        </w:rPr>
        <w:t xml:space="preserve">points toward greater openness and excellence.</w:t>
      </w:r>
      <w:r>
        <w:rPr>
          <w:bCs/>
          <w:b/>
        </w:rPr>
        <w:t xml:space="preserve"> </w:t>
      </w:r>
      <w:r>
        <w:rPr>
          <w:bCs/>
          <w:b/>
        </w:rPr>
        <w:t xml:space="preserve">For stakeholders in</w:t>
      </w:r>
      <w:r>
        <w:rPr>
          <w:bCs/>
          <w:b/>
        </w:rPr>
        <w:t xml:space="preserve"> </w:t>
      </w:r>
      <w:r>
        <w:rPr>
          <w:bCs/>
          <w:b/>
          <w:bCs/>
          <w:b/>
        </w:rPr>
        <w:t xml:space="preserve">Uzbekistan</w:t>
      </w:r>
      <w:r>
        <w:rPr>
          <w:bCs/>
          <w:b/>
        </w:rPr>
        <w:t xml:space="preserve">, supporting these educators through competitive compensation, continuous professional development, and international exposure is not merely an investment in individual careers but a strategic necessity for national development. The success of this academic transformation will largely depend on the capacity and motivation of the</w:t>
      </w:r>
      <w:r>
        <w:rPr>
          <w:bCs/>
          <w:b/>
        </w:rPr>
        <w:t xml:space="preserve"> </w:t>
      </w:r>
      <w:r>
        <w:rPr>
          <w:bCs/>
          <w:b/>
          <w:bCs/>
          <w:b/>
        </w:rPr>
        <w:t xml:space="preserve">University Lecturer</w:t>
      </w:r>
      <w:r>
        <w:rPr>
          <w:bCs/>
          <w:b/>
        </w:rPr>
        <w:t xml:space="preserve">, who stands at the heart of</w:t>
      </w:r>
      <w:r>
        <w:rPr>
          <w:bCs/>
          <w:b/>
        </w:rPr>
        <w:t xml:space="preserve"> </w:t>
      </w:r>
      <w:r>
        <w:rPr>
          <w:bCs/>
          <w:b/>
          <w:bCs/>
          <w:b/>
        </w:rPr>
        <w:t xml:space="preserve">Tashkent</w:t>
      </w:r>
      <w:r>
        <w:rPr>
          <w:bCs/>
          <w:b/>
        </w:rPr>
        <w:t xml:space="preserve">’s intellectual renaissance.</w:t>
      </w:r>
    </w:p>
    <w:bookmarkEnd w:id="25"/>
    <w:bookmarkStart w:id="26" w:name="vii.-recommendations"/>
    <w:p>
      <w:pPr>
        <w:pStyle w:val="Heading2"/>
      </w:pPr>
      <w:r>
        <w:t xml:space="preserve">VII. Recommendations</w:t>
      </w:r>
    </w:p>
    <w:p>
      <w:pPr>
        <w:pStyle w:val="FirstParagraph"/>
      </w:pPr>
      <w:r>
        <w:t xml:space="preserve">Based on this analysis, it is recommended that:</w:t>
      </w:r>
      <w:r>
        <w:t xml:space="preserve"> </w:t>
      </w:r>
      <w:r>
        <w:t xml:space="preserve">1. Universities in</w:t>
      </w:r>
      <w:r>
        <w:t xml:space="preserve"> </w:t>
      </w:r>
      <w:r>
        <w:rPr>
          <w:bCs/>
          <w:b/>
        </w:rPr>
        <w:t xml:space="preserve">Tashkent</w:t>
      </w:r>
      <w:r>
        <w:t xml:space="preserve"> </w:t>
      </w:r>
      <w:r>
        <w:t xml:space="preserve">implement mandatory digital pedagogy training for all faculty members.</w:t>
      </w:r>
      <w:r>
        <w:br/>
      </w:r>
      <w:r>
        <w:t xml:space="preserve">2. Government policies continue to incentivize English language proficiency among</w:t>
      </w:r>
      <w:r>
        <w:t xml:space="preserve"> </w:t>
      </w:r>
      <w:r>
        <w:rPr>
          <w:bCs/>
          <w:b/>
        </w:rPr>
        <w:t xml:space="preserve">University Lecturers</w:t>
      </w:r>
      <w:r>
        <w:t xml:space="preserve">.</w:t>
      </w:r>
      <w:r>
        <w:br/>
      </w:r>
      <w:r>
        <w:t xml:space="preserve">3. International partnerships are expanded to allow more exchange programs for academic staff in</w:t>
      </w:r>
      <w:r>
        <w:t xml:space="preserve"> </w:t>
      </w:r>
      <w:r>
        <w:rPr>
          <w:bCs/>
          <w:b/>
        </w:rPr>
        <w:t xml:space="preserve">Uzbekistan</w:t>
      </w:r>
      <w:r>
        <w:t xml:space="preserve">.</w:t>
      </w:r>
      <w:r>
        <w:br/>
      </w:r>
      <w:r>
        <w:t xml:space="preserve">4. Mental health and professional well-being support systems are established for educators to manage the pressures of modern research demands.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Uzbekistan, Tashkent</dc:title>
  <dc:creator/>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file>