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Videographer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2" w:name="X2214885fbd335a71d5687eaa884c3992085fcaa"/>
    <w:p>
      <w:pPr>
        <w:pStyle w:val="Heading1"/>
      </w:pPr>
      <w:r>
        <w:t xml:space="preserve">Comprehensive Book Report on the Modern Videographer Profession for Uzbekistan Tashkent</w:t>
      </w:r>
    </w:p>
    <w:p>
      <w:pPr>
        <w:pStyle w:val="FirstParagraph"/>
      </w:pPr>
      <w:r>
        <w:rPr>
          <w:bCs/>
          <w:b/>
        </w:rPr>
        <w:t xml:space="preserve">Date of Publication:</w:t>
      </w:r>
      <w:r>
        <w:t xml:space="preserve"> </w:t>
      </w:r>
      <w:r>
        <w:t xml:space="preserve">October 2024  | </w:t>
      </w:r>
      <w:r>
        <w:t xml:space="preserve"> </w:t>
      </w:r>
      <w:r>
        <w:rPr>
          <w:bCs/>
          <w:b/>
        </w:rPr>
        <w:t xml:space="preserve">Evaluator:</w:t>
      </w:r>
      <w:r>
        <w:t xml:space="preserve"> </w:t>
      </w:r>
      <w:r>
        <w:t xml:space="preserve">Media Education Review Board  | </w:t>
      </w:r>
      <w:r>
        <w:t xml:space="preserve"> </w:t>
      </w:r>
      <w:r>
        <w:rPr>
          <w:bCs/>
          <w:b/>
        </w:rPr>
        <w:t xml:space="preserve">Focal Region:</w:t>
      </w:r>
      <w:r>
        <w:t xml:space="preserve"> </w:t>
      </w:r>
      <w:r>
        <w:t xml:space="preserve">Uzbekistan Tashkent</w:t>
      </w:r>
    </w:p>
    <w:bookmarkStart w:id="20" w:name="i.-introduction-to-this-book-report"/>
    <w:p>
      <w:pPr>
        <w:pStyle w:val="Heading2"/>
      </w:pPr>
      <w:r>
        <w:t xml:space="preserve">I. Introduction to This Book Report</w:t>
      </w:r>
    </w:p>
    <w:p>
      <w:pPr>
        <w:pStyle w:val="FirstParagraph"/>
      </w:pPr>
      <w:r>
        <w:t xml:space="preserve">This formal</w:t>
      </w:r>
      <w:r>
        <w:t xml:space="preserve"> </w:t>
      </w:r>
      <w:r>
        <w:t xml:space="preserve">Book Report</w:t>
      </w:r>
      <w:r>
        <w:t xml:space="preserve"> </w:t>
      </w:r>
      <w:r>
        <w:t xml:space="preserve">provides a rigorous academic and professional evaluation of contemporary videography literature, specifically designed to guide educational institutions, corporate media divisions, and independent creators operating within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As digital communication continues to dominate global information ecosystems, the professional identity of the modern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has fundamentally shifted from technical equipment operator to strategic visual storyteller. This document serves as a structured analytical framework that examines core production methodologies, narrative architecture, and industry compliance standards while deliberately contextualizing them for the unique cultural and economic landscape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By synthesizing internationally recognized training protocols with regional media demands, this</w:t>
      </w:r>
      <w:r>
        <w:t xml:space="preserve"> </w:t>
      </w:r>
      <w:r>
        <w:t xml:space="preserve">Book Report</w:t>
      </w:r>
      <w:r>
        <w:t xml:space="preserve"> </w:t>
      </w:r>
      <w:r>
        <w:t xml:space="preserve">ensures that every stakeholder—whether a university lecturer in Central Asia, a freelance content creator, or a municipal communications director—can effectively leverage these insights to cultivate elite-level</w:t>
      </w:r>
      <w:r>
        <w:t xml:space="preserve"> </w:t>
      </w:r>
      <w:r>
        <w:rPr>
          <w:iCs/>
          <w:i/>
        </w:rPr>
        <w:t xml:space="preserve">Videographer</w:t>
      </w:r>
      <w:r>
        <w:t xml:space="preserve"> </w:t>
      </w:r>
      <w:r>
        <w:t xml:space="preserve">talent. The deliberate adaptation of terminology and case studies within this review guarantees that the principles outlined here remain immediately applicable to media professionals扎根 (rooted)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bookmarkEnd w:id="20"/>
    <w:bookmarkStart w:id="21" w:name="X4a0328a599fbb021cbd9ffa74c980bc44e9b5a8"/>
    <w:p>
      <w:pPr>
        <w:pStyle w:val="Heading2"/>
      </w:pPr>
      <w:r>
        <w:t xml:space="preserve">II. Core Content Analysis and Structural Breakdown</w:t>
      </w:r>
    </w:p>
    <w:p>
      <w:pPr>
        <w:pStyle w:val="FirstParagraph"/>
      </w:pPr>
      <w:r>
        <w:t xml:space="preserve">The foundational text reviewed in this</w:t>
      </w:r>
      <w:r>
        <w:t xml:space="preserve"> </w:t>
      </w:r>
      <w:r>
        <w:t xml:space="preserve">Book Report</w:t>
      </w:r>
      <w:r>
        <w:t xml:space="preserve"> </w:t>
      </w:r>
      <w:r>
        <w:t xml:space="preserve">systematically deconstructs the complete production pipeline, beginning with conceptual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Videographer Book Report - Uzbekistan Tashkent</dc:title>
  <dc:creator/>
  <dc:language>en</dc:language>
  <cp:keywords/>
  <dcterms:created xsi:type="dcterms:W3CDTF">2026-07-29T17:38:30Z</dcterms:created>
  <dcterms:modified xsi:type="dcterms:W3CDTF">2026-07-29T17:38:30Z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