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Montreal</w:t>
      </w:r>
    </w:p>
    <w:bookmarkStart w:id="32" w:name="X90ede53ff4082ef36f97e28f680bf5fa94942fb"/>
    <w:p>
      <w:pPr>
        <w:pStyle w:val="Heading1"/>
      </w:pPr>
      <w:r>
        <w:t xml:space="preserve">Case Study: Navigating the Academic Research Landscape for an Academic Researcher in Canada Montreal</w:t>
      </w:r>
    </w:p>
    <w:p>
      <w:pPr>
        <w:pStyle w:val="FirstParagraph"/>
      </w:pPr>
      <w:r>
        <w:rPr>
          <w:bCs/>
          <w:b/>
        </w:rPr>
        <w:t xml:space="preserve">Date:</w:t>
      </w:r>
      <w:r>
        <w:t xml:space="preserve"> </w:t>
      </w:r>
      <w:r>
        <w:t xml:space="preserve">October 26, 2023</w:t>
      </w:r>
      <w:r>
        <w:br/>
      </w:r>
    </w:p>
    <w:bookmarkStart w:id="20" w:name="executive-summary"/>
    <w:p>
      <w:pPr>
        <w:pStyle w:val="Heading2"/>
      </w:pPr>
      <w:r>
        <w:t xml:space="preserve">1. Executive Summary</w:t>
      </w:r>
    </w:p>
    <w:p>
      <w:pPr>
        <w:pStyle w:val="FirstParagraph"/>
      </w:pPr>
      <w:r>
        <w:t xml:space="preserve">This case study examines the multifaceted role, challenges, and opportunities faced by an Academic Researcher operating within the specific socio-economic and academic context of Canada Montreal. As a global hub for artificial intelligence (AI), biotechnology, and aerospace engineering Montreal offers a unique environment for scholarly inquiry. However succeeding in this domain requires more than just intellectual curiosity; it necessitates navigation of complex funding structures bilingual regulatory frameworks, and intense international competition.</w:t>
      </w:r>
    </w:p>
    <w:p>
      <w:pPr>
        <w:pStyle w:val="BodyText"/>
      </w:pPr>
      <w:r>
        <w:t xml:space="preserve">The primary objective of this document is to outline the lifecycle of an Academic Researcher from initial recruitment and integration to sustained productivity and impact. By analyzing the specific dynamics of Canada Montreal, we aim to provide a comprehensive overview that highlights why this region is a critical node in global science and technology development.</w:t>
      </w:r>
    </w:p>
    <w:bookmarkEnd w:id="20"/>
    <w:bookmarkStart w:id="21" w:name="X733c740612f636fdfdbe9854f17d22b74849a36"/>
    <w:p>
      <w:pPr>
        <w:pStyle w:val="Heading2"/>
      </w:pPr>
      <w:r>
        <w:t xml:space="preserve">2. Contextual Background: The Appeal of Canada Montreal</w:t>
      </w:r>
    </w:p>
    <w:p>
      <w:pPr>
        <w:pStyle w:val="FirstParagraph"/>
      </w:pPr>
      <w:r>
        <w:t xml:space="preserve">Montreal has established itself as one of the world’s leading cities for higher education and research. Home to prestigious institutions such as McGill University, Université de Montréal, Concordia University, and École Polytechnique de Montréal the city boasts a dense concentration of talent. For an Academic Researcher relocating to or starting their career in this region several factors are paramount:</w:t>
      </w:r>
    </w:p>
    <w:p>
      <w:pPr>
        <w:numPr>
          <w:ilvl w:val="0"/>
          <w:numId w:val="1001"/>
        </w:numPr>
        <w:pStyle w:val="Compact"/>
      </w:pPr>
      <w:r>
        <w:rPr>
          <w:bCs/>
          <w:b/>
        </w:rPr>
        <w:t xml:space="preserve">Linguistic Duality:</w:t>
      </w:r>
    </w:p>
    <w:p>
      <w:pPr>
        <w:numPr>
          <w:ilvl w:val="0"/>
          <w:numId w:val="1001"/>
        </w:numPr>
        <w:pStyle w:val="Compact"/>
      </w:pPr>
      <w:r>
        <w:rPr>
          <w:bCs/>
          <w:b/>
        </w:rPr>
        <w:t xml:space="preserve">Financial Incentives:</w:t>
      </w:r>
    </w:p>
    <w:p>
      <w:pPr>
        <w:numPr>
          <w:ilvl w:val="0"/>
          <w:numId w:val="1001"/>
        </w:numPr>
        <w:pStyle w:val="Compact"/>
      </w:pPr>
      <w:r>
        <w:rPr>
          <w:bCs/>
          <w:b/>
        </w:rPr>
        <w:t xml:space="preserve">Cost of Living vs. Compensation:</w:t>
      </w:r>
    </w:p>
    <w:bookmarkEnd w:id="21"/>
    <w:bookmarkStart w:id="24" w:name="profile-of-the-academic-researcher"/>
    <w:p>
      <w:pPr>
        <w:pStyle w:val="Heading2"/>
      </w:pPr>
      <w:r>
        <w:t xml:space="preserve">3. Profile of the Academic Researcher</w:t>
      </w:r>
    </w:p>
    <w:p>
      <w:pPr>
        <w:pStyle w:val="FirstParagraph"/>
      </w:pPr>
      <w:r>
        <w:t xml:space="preserve">To ground this case study we profile a representative persona: Dr. Elena Rossi, an Associate Professor in Computational Biology at McGill University. Dr. Rossi represents the typical challenges and triumphs faced by mid-career Academic Researchers in Canada Montreal.</w:t>
      </w:r>
    </w:p>
    <w:bookmarkStart w:id="22" w:name="professional-responsibilities"/>
    <w:p>
      <w:pPr>
        <w:pStyle w:val="Heading3"/>
      </w:pPr>
      <w:r>
        <w:t xml:space="preserve">3.1 Professional Responsibilities</w:t>
      </w:r>
    </w:p>
    <w:p>
      <w:pPr>
        <w:pStyle w:val="FirstParagraph"/>
      </w:pPr>
      <w:r>
        <w:t xml:space="preserve">The role of an Academic Researcher is rarely singular. Dr. Rossi’s workload is divided into three core pillars:</w:t>
      </w:r>
    </w:p>
    <w:p>
      <w:pPr>
        <w:numPr>
          <w:ilvl w:val="0"/>
          <w:numId w:val="1002"/>
        </w:numPr>
        <w:pStyle w:val="Compact"/>
      </w:pPr>
      <w:r>
        <w:rPr>
          <w:bCs/>
          <w:b/>
        </w:rPr>
        <w:t xml:space="preserve">Tenure-Track Teaching:</w:t>
      </w:r>
    </w:p>
    <w:p>
      <w:pPr>
        <w:numPr>
          <w:ilvl w:val="0"/>
          <w:numId w:val="1002"/>
        </w:numPr>
        <w:pStyle w:val="Compact"/>
      </w:pPr>
      <w:r>
        <w:rPr>
          <w:bCs/>
          <w:b/>
        </w:rPr>
        <w:t xml:space="preserve">Research Output:</w:t>
      </w:r>
    </w:p>
    <w:p>
      <w:pPr>
        <w:numPr>
          <w:ilvl w:val="0"/>
          <w:numId w:val="1002"/>
        </w:numPr>
        <w:pStyle w:val="Compact"/>
      </w:pPr>
      <w:r>
        <w:rPr>
          <w:bCs/>
          <w:b/>
        </w:rPr>
        <w:t xml:space="preserve">Community Engagement:</w:t>
      </w:r>
    </w:p>
    <w:bookmarkEnd w:id="22"/>
    <w:bookmarkStart w:id="23" w:name="the-funding-landscape"/>
    <w:p>
      <w:pPr>
        <w:pStyle w:val="Heading3"/>
      </w:pPr>
      <w:r>
        <w:t xml:space="preserve">3.2 The Funding Landscape</w:t>
      </w:r>
    </w:p>
    <w:p>
      <w:pPr>
        <w:pStyle w:val="FirstParagraph"/>
      </w:pPr>
      <w:r>
        <w:t xml:space="preserve">A critical aspect of the Academic Researcher’s life is securing funding. Dr. Rossi relies on a mix of federal grants from the Natural Sciences and Engineering Research Council (NSERC) and provincial grants from the Fonds de recherche du Québec – Nature et technologies (FRQNT). This dual-layered system requires meticulous grant writing that addresses both national priorities and local Quebec-based innovation goals.</w:t>
      </w:r>
    </w:p>
    <w:bookmarkEnd w:id="23"/>
    <w:bookmarkEnd w:id="24"/>
    <w:bookmarkStart w:id="28" w:name="Xdb0b1a7c546db3e58735320422fbf9462ab78ec"/>
    <w:p>
      <w:pPr>
        <w:pStyle w:val="Heading2"/>
      </w:pPr>
      <w:r>
        <w:t xml:space="preserve">4. Challenges Faced by the Academic Researcher</w:t>
      </w:r>
    </w:p>
    <w:p>
      <w:pPr>
        <w:pStyle w:val="FirstParagraph"/>
      </w:pPr>
      <w:r>
        <w:t xml:space="preserve">Despite its strengths the ecosystem in Canada Montreal presents significant hurdles for Academic Researchers:</w:t>
      </w:r>
    </w:p>
    <w:bookmarkStart w:id="25" w:name="immigration-and-credential-recognition"/>
    <w:p>
      <w:pPr>
        <w:pStyle w:val="Heading3"/>
      </w:pPr>
      <w:r>
        <w:t xml:space="preserve">4.1 Immigration and Credential Recognition</w:t>
      </w:r>
    </w:p>
    <w:p>
      <w:pPr>
        <w:pStyle w:val="FirstParagraph"/>
      </w:pPr>
      <w:r>
        <w:t xml:space="preserve">The initial phase of moving to Canada Montreal involves navigating immigration policies. While Express Entry points are awarded for academic credentials the process can be lengthy. Furthermore non-native speakers often face implicit bias in hiring committees if their French proficiency is deemed insufficient despite their exceptional scientific record.</w:t>
      </w:r>
    </w:p>
    <w:bookmarkEnd w:id="25"/>
    <w:bookmarkStart w:id="26" w:name="the-publish-or-perish-pressure"/>
    <w:p>
      <w:pPr>
        <w:pStyle w:val="Heading3"/>
      </w:pPr>
      <w:r>
        <w:t xml:space="preserve">4.2 The "Publish or Perish" Pressure</w:t>
      </w:r>
    </w:p>
    <w:p>
      <w:pPr>
        <w:pStyle w:val="FirstParagraph"/>
      </w:pPr>
      <w:r>
        <w:t xml:space="preserve">The tenure clock is unforgiving. Dr. Rossi must balance the need for rapid publication with the rigorous peer-review process inherent in high-impact journals. In a competitive global market Academic Researchers in Canada Montreal must constantly innovate to stay ahead of peers in Boston London or Berlin.</w:t>
      </w:r>
    </w:p>
    <w:bookmarkEnd w:id="26"/>
    <w:bookmarkStart w:id="27" w:name="brain-drain-risks"/>
    <w:p>
      <w:pPr>
        <w:pStyle w:val="Heading3"/>
      </w:pPr>
      <w:r>
        <w:t xml:space="preserve">4.3 Brain Drain Risks</w:t>
      </w:r>
    </w:p>
    <w:p>
      <w:pPr>
        <w:pStyle w:val="FirstParagraph"/>
      </w:pPr>
      <w:r>
        <w:t xml:space="preserve">A recurring theme for many institutions is the retention of talent. Many post-doctoral fellows who train in Montreal are recruited by well-funded American universities offering higher salaries. Retaining this Academic Researcher pipeline requires strong institutional support and clear pathways to permanent faculty positions.</w:t>
      </w:r>
    </w:p>
    <w:bookmarkEnd w:id="27"/>
    <w:bookmarkEnd w:id="28"/>
    <w:bookmarkStart w:id="29" w:name="X17540298c9e61e637a65d173578baeb0605b9c0"/>
    <w:p>
      <w:pPr>
        <w:pStyle w:val="Heading2"/>
      </w:pPr>
      <w:r>
        <w:t xml:space="preserve">5. Strategic Advantages and Mitigation Strategies</w:t>
      </w:r>
    </w:p>
    <w:p>
      <w:pPr>
        <w:pStyle w:val="FirstParagraph"/>
      </w:pPr>
      <w:r>
        <w:t xml:space="preserve">To overcome these challenges Academic Researchers employ several strategic approaches:</w:t>
      </w:r>
    </w:p>
    <w:p>
      <w:pPr>
        <w:numPr>
          <w:ilvl w:val="0"/>
          <w:numId w:val="1003"/>
        </w:numPr>
        <w:pStyle w:val="Compact"/>
      </w:pPr>
      <w:r>
        <w:rPr>
          <w:bCs/>
          <w:b/>
        </w:rPr>
        <w:t xml:space="preserve">Bilingual Integration:</w:t>
      </w:r>
    </w:p>
    <w:p>
      <w:pPr>
        <w:numPr>
          <w:ilvl w:val="0"/>
          <w:numId w:val="1003"/>
        </w:numPr>
        <w:pStyle w:val="Compact"/>
      </w:pPr>
      <w:r>
        <w:rPr>
          <w:bCs/>
          <w:b/>
        </w:rPr>
        <w:t xml:space="preserve">Industry Partnerships: Collaborating with companies like BioCanRx helps diversify funding sources beyond government grants reducing dependency on single-point failures.</w:t>
      </w:r>
    </w:p>
    <w:p>
      <w:pPr>
        <w:numPr>
          <w:ilvl w:val="0"/>
          <w:numId w:val="1003"/>
        </w:numPr>
        <w:pStyle w:val="Compact"/>
      </w:pPr>
      <w:r>
        <w:t xml:space="preserve">Mentorship Networks: Participating in internal mentorship programs at McGill allows junior researchers to gain insights into navigating the tenure track specifically within the Canadian academic system.</w:t>
      </w:r>
    </w:p>
    <w:bookmarkEnd w:id="29"/>
    <w:bookmarkStart w:id="30" w:name="impact-and-outcomes"/>
    <w:p>
      <w:pPr>
        <w:pStyle w:val="Heading2"/>
      </w:pPr>
      <w:r>
        <w:t xml:space="preserve">6. Impact and Outcomes</w:t>
      </w:r>
    </w:p>
    <w:p>
      <w:pPr>
        <w:pStyle w:val="FirstParagraph"/>
      </w:pPr>
      <w:r>
        <w:t xml:space="preserve">The cumulative effect of supporting Academic Researchers in Canada Montreal is tangible. Over the past decade this region has seen:</w:t>
      </w:r>
    </w:p>
    <w:p>
      <w:pPr>
        <w:numPr>
          <w:ilvl w:val="0"/>
          <w:numId w:val="1004"/>
        </w:numPr>
        <w:pStyle w:val="Compact"/>
      </w:pPr>
      <w:r>
        <w:rPr>
          <w:bCs/>
          <w:b/>
        </w:rPr>
        <w:t xml:space="preserve">Economic Growth: Spin-off companies originating from university labs have created thousands of high-skilled jobs.</w:t>
      </w:r>
    </w:p>
    <w:p>
      <w:pPr>
        <w:numPr>
          <w:ilvl w:val="0"/>
          <w:numId w:val="1004"/>
        </w:numPr>
        <w:pStyle w:val="Compact"/>
      </w:pPr>
      <w:r>
        <w:rPr>
          <w:bCs/>
          <w:b/>
        </w:rPr>
        <w:t xml:space="preserve">Scientific Breakthroughs: Significant contributions to mRNA vaccine technology and quantum cryptography can be traced back to research teams in this hub.</w:t>
      </w:r>
    </w:p>
    <w:p>
      <w:pPr>
        <w:numPr>
          <w:ilvl w:val="0"/>
          <w:numId w:val="1004"/>
        </w:numPr>
        <w:pStyle w:val="Compact"/>
      </w:pPr>
      <w:r>
        <w:t xml:space="preserve">Global Reputation: Canada Montreal is now synonymous with cutting-edge interdisciplinary research attracting international students and scholars.</w:t>
      </w:r>
    </w:p>
    <w:bookmarkEnd w:id="30"/>
    <w:bookmarkStart w:id="31" w:name="conclusion"/>
    <w:p>
      <w:pPr>
        <w:pStyle w:val="Heading2"/>
      </w:pPr>
      <w:r>
        <w:t xml:space="preserve">7. Conclusion</w:t>
      </w:r>
    </w:p>
    <w:p>
      <w:pPr>
        <w:pStyle w:val="FirstParagraph"/>
      </w:pPr>
      <w:r>
        <w:t xml:space="preserve">The case of the Academic Researcher in Canada Montreal illustrates the complex interplay between individual ambition and institutional support systems. While challenges such as linguistic barriers funding competition are real they are outweighed by the vibrant intellectual community and robust infrastructure available.</w:t>
      </w:r>
    </w:p>
    <w:p>
      <w:pPr>
        <w:pStyle w:val="BodyText"/>
      </w:pPr>
      <w:r>
        <w:t xml:space="preserve">For policymakers and university administrators investing in these roles is not merely an academic exercise but a strategic economic imperative. By providing stable tenure tracks inclusive environments and competitive funding opportunities Canada Montreal can continue to serve as a beacon for scientific excellence globally.</w:t>
      </w:r>
    </w:p>
    <w:p>
      <w:pPr>
        <w:pStyle w:val="BodyText"/>
      </w:pPr>
      <w:r>
        <w:t xml:space="preserve">Note: This case study is for illustrative purposes and reflects general trends observed in the academic sector of Canada Montreal as of 2023. Specific personal circumstances may vary.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Canada Montreal</dc:title>
  <dc:creator/>
  <dc:language>en</dc:language>
  <cp:keywords/>
  <dcterms:created xsi:type="dcterms:W3CDTF">2026-07-29T16:52:02Z</dcterms:created>
  <dcterms:modified xsi:type="dcterms:W3CDTF">2026-07-29T16:52:02Z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