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0" w:name="X4c51d04653d353b7ab35c80af91b5df2d706893"/>
    <w:p>
      <w:pPr>
        <w:pStyle w:val="Heading1"/>
      </w:pPr>
      <w:r>
        <w:t xml:space="preserve">Bridging Innovation and Tradition: A Case Study of the Academic Researcher in Canada, Toronto</w:t>
      </w:r>
    </w:p>
    <w:bookmarkEnd w:id="20"/>
    <w:bookmarkStart w:id="21" w:name="introduction"/>
    <w:p>
      <w:pPr>
        <w:pStyle w:val="FirstParagraph"/>
      </w:pPr>
      <w:r>
        <w:rPr>
          <w:bCs/>
          <w:b/>
        </w:rPr>
        <w:t xml:space="preserve">Date:</w:t>
      </w:r>
      <w:r>
        <w:t xml:space="preserve"> </w:t>
      </w:r>
      <w:r>
        <w:t xml:space="preserve">October 2023</w:t>
      </w:r>
    </w:p>
    <w:p>
      <w:pPr>
        <w:pStyle w:val="BodyText"/>
      </w:pPr>
      <w:r>
        <w:rPr>
          <w:bCs/>
          <w:b/>
        </w:rPr>
        <w:t xml:space="preserve">Subject:</w:t>
      </w:r>
      <w:r>
        <w:rPr>
          <w:iCs/>
          <w:i/>
        </w:rPr>
        <w:t xml:space="preserve">The Academic Researcher</w:t>
      </w:r>
    </w:p>
    <w:p>
      <w:pPr>
        <w:pStyle w:val="BodyText"/>
      </w:pPr>
      <w:r>
        <w:rPr>
          <w:bCs/>
          <w:b/>
        </w:rPr>
        <w:t xml:space="preserve">Jurisdiction/Location:</w:t>
      </w:r>
      <w:r>
        <w:t xml:space="preserve">: Canada, Toronto</w:t>
      </w:r>
    </w:p>
    <w:p>
      <w:pPr>
        <w:pStyle w:val="BodyText"/>
      </w:pPr>
      <w:r>
        <w:t xml:space="preserve">)</w:t>
      </w:r>
    </w:p>
    <w:bookmarkEnd w:id="21"/>
    <w:p>
      <w:pPr>
        <w:pStyle w:val="BodyText"/>
      </w:pPr>
      <w:r>
        <w:t xml:space="preserve">Bridging Innovation and Tradition: A Case Study of the Academic Researcher in Canada, Toronto</w:t>
      </w:r>
    </w:p>
    <w:bookmarkStart w:id="22" w:name="introduction"/>
    <w:p>
      <w:pPr>
        <w:pStyle w:val="BodyText"/>
      </w:pPr>
      <w:r>
        <w:rPr>
          <w:bCs/>
          <w:b/>
        </w:rPr>
        <w:t xml:space="preserve">Date:</w:t>
      </w:r>
      <w:r>
        <w:t xml:space="preserve"> </w:t>
      </w:r>
      <w:r>
        <w:t xml:space="preserve">October 2023</w:t>
      </w:r>
    </w:p>
    <w:p>
      <w:pPr>
        <w:pStyle w:val="BodyText"/>
      </w:pPr>
      <w:r>
        <w:rPr>
          <w:bCs/>
          <w:b/>
        </w:rPr>
        <w:t xml:space="preserve">Subject:</w:t>
      </w:r>
      <w:r>
        <w:rPr>
          <w:iCs/>
          <w:i/>
        </w:rPr>
        <w:t xml:space="preserve">The Academic Researcher</w:t>
      </w:r>
    </w:p>
    <w:p>
      <w:pPr>
        <w:pStyle w:val="BodyText"/>
      </w:pPr>
      <w:r>
        <w:t xml:space="preserve">:</w:t>
      </w:r>
    </w:p>
    <w:bookmarkEnd w:id="22"/>
    <w:p>
      <w:pPr>
        <w:pStyle w:val="BodyText"/>
      </w:pPr>
      <w:r>
        <w:t xml:space="preserve">Bridging Innovation and Tradition: A Case Study of the Academic Researcher in Canada, Toronto</w:t>
      </w:r>
    </w:p>
    <w:bookmarkStart w:id="23" w:name="introduction"/>
    <w:p>
      <w:pPr>
        <w:pStyle w:val="BodyText"/>
      </w:pPr>
      <w:r>
        <w:rPr>
          <w:bCs/>
          <w:b/>
        </w:rPr>
        <w:t xml:space="preserve">Date:</w:t>
      </w:r>
      <w:r>
        <w:t xml:space="preserve"> </w:t>
      </w:r>
      <w:r>
        <w:t xml:space="preserve">October 2023</w:t>
      </w:r>
    </w:p>
    <w:p>
      <w:pPr>
        <w:pStyle w:val="BodyText"/>
      </w:pPr>
      <w:r>
        <w:rPr>
          <w:bCs/>
          <w:b/>
        </w:rPr>
        <w:t xml:space="preserve">Subject:</w:t>
      </w:r>
      <w:r>
        <w:rPr>
          <w:iCs/>
          <w:i/>
        </w:rPr>
        <w:t xml:space="preserve">The Academic Researcher</w:t>
      </w:r>
    </w:p>
    <w:p>
      <w:pPr>
        <w:pStyle w:val="BodyText"/>
      </w:pPr>
      <w:r>
        <w:t xml:space="preserve">:</w:t>
      </w:r>
    </w:p>
    <w:bookmarkEnd w:id="23"/>
    <w:bookmarkStart w:id="25" w:name="Xf7f1f5a9b54128df6fcd0e7d73a56a197da470c"/>
    <w:p>
      <w:pPr>
        <w:pStyle w:val="Heading2"/>
      </w:pPr>
      <w:r>
        <w:t xml:space="preserve">1. Introduction: The Context of Toronto’s Academic Landscape</w:t>
      </w:r>
    </w:p>
    <w:p>
      <w:pPr>
        <w:pStyle w:val="FirstParagraph"/>
      </w:pPr>
      <w:r>
        <w:t xml:space="preserve">Toronto has emerged as one of the most significant global hubs for higher education and scientific inquiry in North America. As the largest city in Canada, it serves as a critical nexus for policy, finance, technology, and culture. Within this vibrant ecosystem sits a unique demographic profile:</w:t>
      </w:r>
      <w:r>
        <w:t xml:space="preserve"> </w:t>
      </w:r>
      <w:r>
        <w:rPr>
          <w:bCs/>
          <w:b/>
        </w:rPr>
        <w:t xml:space="preserve">the Academic Researcher</w:t>
      </w:r>
      <w:r>
        <w:t xml:space="preserve">. These individuals are not merely educators; they are the primary engines of knowledge creation, driving advancements in artificial intelligence (AI), biomedical engineering, climate science, and social sciences.</w:t>
      </w:r>
    </w:p>
    <w:p>
      <w:pPr>
        <w:pStyle w:val="BodyText"/>
      </w:pPr>
      <w:r>
        <w:t xml:space="preserve">This case study examines the professional trajectory, challenges faced by these researchers within the Canadian context. It explores how institutions such as the University of Toronto (UofT), York University, and Ryerson (now TMU) provide frameworks that support</w:t>
      </w:r>
      <w:r>
        <w:t xml:space="preserve"> </w:t>
      </w:r>
      <w:r>
        <w:rPr>
          <w:bCs/>
          <w:b/>
        </w:rPr>
        <w:t xml:space="preserve">the Academic Researcher</w:t>
      </w:r>
      <w:r>
        <w:t xml:space="preserve"> </w:t>
      </w:r>
      <w:r>
        <w:t xml:space="preserve">while navigating the unique regulatory and cultural environments of</w:t>
      </w:r>
      <w:r>
        <w:t xml:space="preserve"> </w:t>
      </w:r>
      <w:r>
        <w:rPr>
          <w:bCs/>
          <w:b/>
        </w:rPr>
        <w:t xml:space="preserve">Canada, Toronto</w:t>
      </w:r>
      <w:r>
        <w:t xml:space="preserve">.</w:t>
      </w:r>
    </w:p>
    <w:bookmarkStart w:id="24" w:name="X7fd194dd5d9bf575b8e6354ccd031ae33c232f6"/>
    <w:p>
      <w:pPr>
        <w:pStyle w:val="Heading3"/>
      </w:pPr>
      <w:r>
        <w:t xml:space="preserve">The Core Profile: Who is the Academic Researcher?</w:t>
      </w:r>
    </w:p>
    <w:p>
      <w:pPr>
        <w:pStyle w:val="FirstParagraph"/>
      </w:pPr>
      <w:r>
        <w:t xml:space="preserve">:</w:t>
      </w:r>
      <w:r>
        <w:t xml:space="preserve"> </w:t>
      </w:r>
      <w:r>
        <w:t xml:space="preserve">- Typically holds a Ph.D. or terminal degree in their field.</w:t>
      </w:r>
      <w:r>
        <w:t xml:space="preserve"> </w:t>
      </w:r>
      <w:r>
        <w:t xml:space="preserve">- Engages in both basic and applied research.</w:t>
      </w:r>
      <w:r>
        <w:t xml:space="preserve"> </w:t>
      </w:r>
      <w:r>
        <w:t xml:space="preserve">- Often balances teaching responsibilities with laboratory management and grant writing.</w:t>
      </w:r>
    </w:p>
    <w:bookmarkEnd w:id="24"/>
    <w:bookmarkEnd w:id="25"/>
    <w:bookmarkStart w:id="27" w:name="objectives"/>
    <w:bookmarkStart w:id="26" w:name="objectives-of-the-research-environment"/>
    <w:p>
      <w:pPr>
        <w:pStyle w:val="Heading2"/>
      </w:pPr>
      <w:r>
        <w:t xml:space="preserve">2: Objectives of the Research Environment</w:t>
      </w:r>
    </w:p>
    <w:p>
      <w:pPr>
        <w:pStyle w:val="FirstParagraph"/>
      </w:pPr>
      <w:r>
        <w:t xml:space="preserve">:</w:t>
      </w:r>
      <w:r>
        <w:t xml:space="preserve"> </w:t>
      </w:r>
      <w:r>
        <w:t xml:space="preserve">The primary objective for</w:t>
      </w:r>
      <w:r>
        <w:t xml:space="preserve"> </w:t>
      </w:r>
      <w:r>
        <w:rPr>
          <w:bCs/>
          <w:b/>
        </w:rPr>
        <w:t xml:space="preserve">the Academic Researcher</w:t>
      </w:r>
      <w:r>
        <w:t xml:space="preserve">, in this case study, is to secure sustainable funding through mechanisms such as the Natural Sciences and Engineering Research Council (NSERC), the Canadian Institutes of Health Research (CIHR), and social sciences. The goal is not only publication but also tangible societal impact. In</w:t>
      </w:r>
      <w:r>
        <w:t xml:space="preserve"> </w:t>
      </w:r>
      <w:r>
        <w:rPr>
          <w:bCs/>
          <w:b/>
        </w:rPr>
        <w:t xml:space="preserve">Canada, Toronto</w:t>
      </w:r>
      <w:r>
        <w:t xml:space="preserve">, there is a strong emphasis on interdisciplinary collaboration, reflecting the city’s diverse population and complex urban challenges.</w:t>
      </w:r>
    </w:p>
    <w:bookmarkEnd w:id="26"/>
    <w:bookmarkEnd w:id="27"/>
    <w:bookmarkStart w:id="31" w:name="X829b33cdb41a0ddcaf85cc75fae620955cd9ae2"/>
    <w:p>
      <w:pPr>
        <w:pStyle w:val="Heading2"/>
      </w:pPr>
      <w:r>
        <w:t xml:space="preserve">3: Key Challenges Faced by the Academic Researcher in Canada, Toronto</w:t>
      </w:r>
    </w:p>
    <w:p>
      <w:pPr>
        <w:pStyle w:val="FirstParagraph"/>
      </w:pPr>
      <w:r>
        <w:t xml:space="preserve">:</w:t>
      </w:r>
    </w:p>
    <w:bookmarkStart w:id="28" w:name="a.-funding-volatility-and-competition"/>
    <w:p>
      <w:pPr>
        <w:pStyle w:val="Heading3"/>
      </w:pPr>
      <w:r>
        <w:t xml:space="preserve">A. Funding Volatility and Competition</w:t>
      </w:r>
    </w:p>
    <w:p>
      <w:pPr>
        <w:pStyle w:val="FirstParagraph"/>
      </w:pPr>
      <w:r>
        <w:t xml:space="preserve">:</w:t>
      </w:r>
      <w:r>
        <w:t xml:space="preserve"> </w:t>
      </w:r>
      <w:r>
        <w:t xml:space="preserve">Despite being a world-class city, researchers in Toronto face intense competition for grants. The cost of living in</w:t>
      </w:r>
      <w:r>
        <w:t xml:space="preserve"> </w:t>
      </w:r>
      <w:r>
        <w:rPr>
          <w:bCs/>
          <w:b/>
        </w:rPr>
        <w:t xml:space="preserve">Canada, Toronto</w:t>
      </w:r>
      <w:r>
        <w:t xml:space="preserve">, is among the highest in the country. This creates pressure on early-career academics who often rely on short-term contracts or postdoctoral fellowships. The</w:t>
      </w:r>
      <w:r>
        <w:t xml:space="preserve"> </w:t>
      </w:r>
      <w:r>
        <w:rPr>
          <w:bCs/>
          <w:b/>
        </w:rPr>
        <w:t xml:space="preserve">Academic Researcher</w:t>
      </w:r>
      <w:r>
        <w:t xml:space="preserve">:</w:t>
      </w:r>
      <w:r>
        <w:t xml:space="preserve"> </w:t>
      </w:r>
      <w:r>
        <w:t xml:space="preserve">must navigate a bureaucratic landscape where success rates for major grants can be below 10%.</w:t>
      </w:r>
    </w:p>
    <w:bookmarkEnd w:id="28"/>
    <w:bookmarkStart w:id="29" w:name="X9bf735a53f1dd79bc4e569539b2e9f3690e1178"/>
    <w:p>
      <w:pPr>
        <w:pStyle w:val="Heading3"/>
      </w:pPr>
      <w:r>
        <w:t xml:space="preserve">B: Navigating Regulatory and Ethical Frameworks</w:t>
      </w:r>
    </w:p>
    <w:p>
      <w:pPr>
        <w:pStyle w:val="FirstParagraph"/>
      </w:pPr>
      <w:r>
        <w:t xml:space="preserve">:</w:t>
      </w:r>
      <w:r>
        <w:t xml:space="preserve"> </w:t>
      </w:r>
      <w:r>
        <w:t xml:space="preserve">Canadian research is governed by strict ethical standards, particularly regarding human subjects (Tri-Council Policy Statement: TCPS2). For the</w:t>
      </w:r>
      <w:r>
        <w:t xml:space="preserve"> </w:t>
      </w:r>
      <w:r>
        <w:rPr>
          <w:bCs/>
          <w:b/>
        </w:rPr>
        <w:t xml:space="preserve">Academic Researcher</w:t>
      </w:r>
      <w:r>
        <w:t xml:space="preserve">: in Toronto, who often works in diverse communities, obtaining informed consent across multiple languages and cultural backgrounds adds complexity to study design.</w:t>
      </w:r>
    </w:p>
    <w:bookmarkEnd w:id="29"/>
    <w:bookmarkStart w:id="30" w:name="c.-infrastructure-and-space-constraints"/>
    <w:p>
      <w:pPr>
        <w:pStyle w:val="Heading3"/>
      </w:pPr>
      <w:r>
        <w:t xml:space="preserve">C. Infrastructure and Space Constraints</w:t>
      </w:r>
    </w:p>
    <w:p>
      <w:pPr>
        <w:pStyle w:val="FirstParagraph"/>
      </w:pPr>
      <w:r>
        <w:t xml:space="preserve">:</w:t>
      </w:r>
      <w:r>
        <w:t xml:space="preserve"> </w:t>
      </w:r>
      <w:r>
        <w:t xml:space="preserve">As a dense urban center, space is at a premium. Securing laboratory space in historic buildings like those at UofT’s St. George campus can be logistically challenging for the</w:t>
      </w:r>
      <w:r>
        <w:t xml:space="preserve"> </w:t>
      </w:r>
      <w:r>
        <w:rPr>
          <w:bCs/>
          <w:b/>
        </w:rPr>
        <w:t xml:space="preserve">Academic Researcher</w:t>
      </w:r>
      <w:r>
        <w:t xml:space="preserve">: who requires modern equipment but finds themselves housed in older infrastructure.</w:t>
      </w:r>
    </w:p>
    <w:bookmarkEnd w:id="30"/>
    <w:bookmarkEnd w:id="31"/>
    <w:bookmarkStart w:id="39" w:name="opportunities"/>
    <w:bookmarkStart w:id="35" w:name="opportunities-and-strategic-advantages"/>
    <w:p>
      <w:pPr>
        <w:pStyle w:val="Heading2"/>
      </w:pPr>
      <w:r>
        <w:t xml:space="preserve">4: Opportunities and Strategic Advantages</w:t>
      </w:r>
    </w:p>
    <w:p>
      <w:pPr>
        <w:pStyle w:val="FirstParagraph"/>
      </w:pPr>
      <w:r>
        <w:t xml:space="preserve">:</w:t>
      </w:r>
    </w:p>
    <w:bookmarkStart w:id="32" w:name="a.-access-to-a-diverse-talent-pool"/>
    <w:p>
      <w:pPr>
        <w:pStyle w:val="Heading3"/>
      </w:pPr>
      <w:r>
        <w:t xml:space="preserve">A. Access to a Diverse Talent Pool</w:t>
      </w:r>
    </w:p>
    <w:p>
      <w:pPr>
        <w:pStyle w:val="FirstParagraph"/>
      </w:pPr>
      <w:r>
        <w:t xml:space="preserve">:</w:t>
      </w:r>
      <w:r>
        <w:t xml:space="preserve"> </w:t>
      </w:r>
      <w:r>
        <w:t xml:space="preserve">Toronto is one of the most multicultural cities in the world. For an Academic Researcher, this diversity translates into access to a wide range of perspectives, languages, and community networks. This is particularly valuable for public health research and social sciences.</w:t>
      </w:r>
    </w:p>
    <w:bookmarkEnd w:id="32"/>
    <w:bookmarkStart w:id="33" w:name="b-strong-industry-academia-links"/>
    <w:p>
      <w:pPr>
        <w:pStyle w:val="Heading3"/>
      </w:pPr>
      <w:r>
        <w:t xml:space="preserve">B: Strong Industry-Academia Links</w:t>
      </w:r>
    </w:p>
    <w:p>
      <w:pPr>
        <w:pStyle w:val="FirstParagraph"/>
      </w:pPr>
      <w:r>
        <w:t xml:space="preserve">:</w:t>
      </w:r>
      <w:r>
        <w:t xml:space="preserve"> </w:t>
      </w:r>
      <w:r>
        <w:t xml:space="preserve">The Toronto tech corridor ("Silicon Valley North") provides unique opportunities for collaboration. Researchers in computer science, biotech (the MaRS Discovery District), and engineering can easily transition from theoretical research to commercial application. This ecosystem supports the</w:t>
      </w:r>
      <w:r>
        <w:t xml:space="preserve"> </w:t>
      </w:r>
      <w:r>
        <w:rPr>
          <w:bCs/>
          <w:b/>
        </w:rPr>
        <w:t xml:space="preserve">Academic Researcher</w:t>
      </w:r>
      <w:r>
        <w:t xml:space="preserve">: who seeks to translate their findings into real-world solutions.</w:t>
      </w:r>
    </w:p>
    <w:bookmarkEnd w:id="33"/>
    <w:bookmarkStart w:id="34" w:name="c-government-support-for-innovation"/>
    <w:p>
      <w:pPr>
        <w:pStyle w:val="Heading3"/>
      </w:pPr>
      <w:r>
        <w:t xml:space="preserve">C: Government Support for Innovation</w:t>
      </w:r>
    </w:p>
    <w:p>
      <w:pPr>
        <w:pStyle w:val="FirstParagraph"/>
      </w:pPr>
      <w:r>
        <w:t xml:space="preserve">:</w:t>
      </w:r>
      <w:r>
        <w:t xml:space="preserve"> </w:t>
      </w:r>
      <w:r>
        <w:t xml:space="preserve">Both federal and provincial governments in Canada have prioritized STEM education and innovation. In Toronto, initiatives like the Ontario Centres of Excellence provide additional funding streams that are not always available in other regions, giving local researchers a competitive edge.</w:t>
      </w:r>
    </w:p>
    <w:bookmarkEnd w:id="34"/>
    <w:bookmarkEnd w:id="35"/>
    <w:bookmarkStart w:id="38" w:name="case-example"/>
    <w:bookmarkStart w:id="36" w:name="X7538292352796b640deda72d982b882e2cb2305"/>
    <w:p>
      <w:pPr>
        <w:pStyle w:val="Heading2"/>
      </w:pPr>
      <w:r>
        <w:t xml:space="preserve">5: Case Example: The Biomedical Researcher in MaRS</w:t>
      </w:r>
    </w:p>
    <w:p>
      <w:pPr>
        <w:pStyle w:val="FirstParagraph"/>
      </w:pPr>
      <w:r>
        <w:t xml:space="preserve">:</w:t>
      </w:r>
      <w:r>
        <w:t xml:space="preserve"> </w:t>
      </w:r>
      <w:r>
        <w:t xml:space="preserve">To illustrate these dynamics, consider "Dr. Sarah Chen," a fictional but representative profile of an Academic Researcher specializing in cancer genomics.</w:t>
      </w:r>
    </w:p>
    <w:p>
      <w:pPr>
        <w:pStyle w:val="BodyText"/>
      </w:pPr>
      <w:r>
        <w:rPr>
          <w:bCs/>
          <w:b/>
        </w:rPr>
        <w:t xml:space="preserve">Institution:</w:t>
      </w:r>
      <w:r>
        <w:t xml:space="preserve">: Based at the University of Toronto, affiliated with the Princess Margaret Cancer Centre.</w:t>
      </w:r>
    </w:p>
    <w:p>
      <w:pPr>
        <w:pStyle w:val="BodyText"/>
      </w:pPr>
      <w:r>
        <w:t xml:space="preserve">:</w:t>
      </w:r>
    </w:p>
    <w:p>
      <w:pPr>
        <w:pStyle w:val="BodyText"/>
      </w:pPr>
      <w:r>
        <w:rPr>
          <w:bCs/>
          <w:b/>
        </w:rPr>
        <w:t xml:space="preserve">: Location Impact:</w:t>
      </w:r>
      <w:r>
        <w:t xml:space="preserve">. Her work is facilitated by proximity to hospitals and biotech firms in MaRS. The urban density of Toronto allows for rapid patient recruitment for clinical trials, a key advantage over rural research centers.</w:t>
      </w:r>
    </w:p>
    <w:p>
      <w:pPr>
        <w:pStyle w:val="BodyText"/>
      </w:pPr>
      <w:r>
        <w:t xml:space="preserve">.</w:t>
      </w:r>
    </w:p>
    <w:p>
      <w:pPr>
        <w:pStyle w:val="BodyText"/>
      </w:pPr>
      <w:r>
        <w:rPr>
          <w:bCs/>
          <w:b/>
        </w:rPr>
        <w:t xml:space="preserve">Funding Strategy::</w:t>
      </w:r>
    </w:p>
    <w:p>
      <w:pPr>
        <w:pStyle w:val="BodyText"/>
      </w:pPr>
      <w:r>
        <w:rPr>
          <w:bCs/>
          <w:b/>
        </w:rPr>
        <w:t xml:space="preserve">: Challenge:</w:t>
      </w:r>
      <w:r>
        <w:t xml:space="preserve">. Balancing the high cost of living in Toronto with a postdoctoral salary requires careful financial planning and reliance on university housing subsidies.</w:t>
      </w:r>
    </w:p>
    <w:bookmarkEnd w:id="36"/>
    <w:bookmarkStart w:id="37" w:name="conclusion"/>
    <w:p>
      <w:pPr>
        <w:pStyle w:val="Heading2"/>
      </w:pPr>
      <w:r>
        <w:t xml:space="preserve">6: Conclusion</w:t>
      </w:r>
    </w:p>
    <w:p>
      <w:pPr>
        <w:pStyle w:val="FirstParagraph"/>
      </w:pPr>
      <w:r>
        <w:t xml:space="preserve">:</w:t>
      </w:r>
      <w:r>
        <w:t xml:space="preserve"> </w:t>
      </w:r>
      <w:r>
        <w:t xml:space="preserve">The role of the Academic Researcher in Canada, Toronto, is defined by a complex interplay of high-level intellectual pursuit and practical urban challenges. While funding pressures and infrastructure constraints are significant hurdles, the benefits of operating in one of North America’s most dynamic academic cities are unparalleled.</w:t>
      </w:r>
    </w:p>
    <w:p>
      <w:pPr>
        <w:pStyle w:val="BodyText"/>
      </w:pPr>
      <w:r>
        <w:t xml:space="preserve">For policymakers and university administrators, supporting the Academic Researcher requires targeted interventions: increasing base funding, modernizing laboratory facilities in historic buildings, and enhancing housing stability for early-career academics. By doing so, Canada can ensure that Toronto remains a global leader in research innovation.</w:t>
      </w:r>
    </w:p>
    <w:p>
      <w:pPr>
        <w:pStyle w:val="BodyText"/>
      </w:pPr>
      <w:r>
        <w:t xml:space="preserve">:</w:t>
      </w:r>
    </w:p>
    <w:p>
      <w:pPr>
        <w:pStyle w:val="BodyText"/>
      </w:pPr>
      <w:r>
        <w:t xml:space="preserve">In summary, the Academic Researcher is not just an employee of a university but a vital stakeholder in the economic and intellectual future of Canada, Toronto. Their success directly correlates with the region’s ability to attract talent, foster innovation, and solve complex societal problems.</w:t>
      </w:r>
    </w:p>
    <w:bookmarkEnd w:id="37"/>
    <w:p>
      <w:pPr>
        <w:pStyle w:val="BodyText"/>
      </w:pPr>
      <w:r>
        <w:t xml:space="preserve">:</w:t>
      </w:r>
    </w:p>
    <w:p>
      <w:pPr>
        <w:pStyle w:val="BodyText"/>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Canada, Toronto</dc:title>
  <dc:creator/>
  <dc:language>en</dc:language>
  <cp:keywords/>
  <dcterms:created xsi:type="dcterms:W3CDTF">2026-07-30T13:12:00Z</dcterms:created>
  <dcterms:modified xsi:type="dcterms:W3CDTF">2026-07-30T13:12:00Z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