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China</w:t>
      </w:r>
      <w:r>
        <w:t xml:space="preserve"> </w:t>
      </w:r>
      <w:r>
        <w:t xml:space="preserve">Guangzhou</w:t>
      </w:r>
    </w:p>
    <w:bookmarkStart w:id="30" w:name="X869a7c63272c182aa96ba8b4b0ca17e8edc08c1"/>
    <w:p>
      <w:pPr>
        <w:pStyle w:val="Heading1"/>
      </w:pPr>
      <w:r>
        <w:t xml:space="preserve">Case Study Profile: The Academic Researcher in China Guangzhou</w:t>
      </w:r>
    </w:p>
    <w:p>
      <w:pPr>
        <w:pStyle w:val="FirstParagraph"/>
      </w:pPr>
      <w:r>
        <w:rPr>
          <w:bCs/>
          <w:b/>
        </w:rPr>
        <w:t xml:space="preserve">Date:</w:t>
      </w:r>
      <w:r>
        <w:t xml:space="preserve"> </w:t>
      </w:r>
      <w:r>
        <w:t xml:space="preserve">October 2023</w:t>
      </w:r>
      <w:r>
        <w:br/>
      </w:r>
      <w:r>
        <w:rPr>
          <w:bCs/>
          <w:b/>
        </w:rPr>
        <w:t xml:space="preserve">Subject:</w:t>
      </w:r>
      <w:hyperlink w:anchor="Xa39a3ee5e6b4b0d3255bfef95601890afd80709">
        <w:r>
          <w:rPr>
            <w:rStyle w:val="Hyperlink"/>
          </w:rPr>
          <w:t xml:space="preserve">Academic Researcher</w:t>
        </w:r>
      </w:hyperlink>
      <w:r>
        <w:br/>
      </w:r>
    </w:p>
    <w:p>
      <w:pPr>
        <w:pStyle w:val="BodyText"/>
      </w:pPr>
      <w:r>
        <w:t xml:space="preserve">Location::</w:t>
      </w:r>
      <w:hyperlink w:anchor="Xa39a3ee5e6b4b0d3255bfef95601890afd80709">
        <w:r>
          <w:rPr>
            <w:rStyle w:val="Hyperlink"/>
          </w:rPr>
          <w:t xml:space="preserve">China Guangzhou</w:t>
        </w:r>
      </w:hyperlink>
      <w:r>
        <w:br/>
      </w:r>
      <w:r>
        <w:rPr>
          <w:iCs/>
          <w:i/>
        </w:rPr>
        <w:t xml:space="preserve">This document outlines the professional journey, environmental context, and strategic challenges faced by a senior academic researcher operating within the vibrant scientific ecosystem of Guangzhou.</w:t>
      </w:r>
    </w:p>
    <w:bookmarkStart w:id="20" w:name="introduction"/>
    <w:p>
      <w:pPr>
        <w:pStyle w:val="Heading2"/>
      </w:pPr>
      <w:r>
        <w:t xml:space="preserve">1. Introduction</w:t>
      </w:r>
    </w:p>
    <w:p>
      <w:pPr>
        <w:pStyle w:val="FirstParagraph"/>
      </w:pPr>
      <w:r>
        <w:t xml:space="preserve">In the contemporary global landscape of science and technology, cities are not merely geographical locations but dynamic hubs of innovation. Among these, Guangzhou stands out as a pivotal metropolis in Southern China. This case study focuses on the role and experience of an individual designated as an</w:t>
      </w:r>
      <w:r>
        <w:t xml:space="preserve"> </w:t>
      </w:r>
      <w:r>
        <w:rPr>
          <w:bCs/>
          <w:b/>
        </w:rPr>
        <w:t xml:space="preserve">Academic Researcher</w:t>
      </w:r>
      <w:r>
        <w:t xml:space="preserve"> </w:t>
      </w:r>
      <w:r>
        <w:t xml:space="preserve">situated within this specific geographic and cultural framework:</w:t>
      </w:r>
      <w:r>
        <w:t xml:space="preserve"> </w:t>
      </w:r>
      <w:r>
        <w:rPr>
          <w:bCs/>
          <w:b/>
        </w:rPr>
        <w:t xml:space="preserve">China Guangzhou</w:t>
      </w:r>
      <w:r>
        <w:t xml:space="preserve">. The objective is to analyze how the unique interplay between traditional academic rigor and rapid regional economic development influences research output, career progression, and interdisciplinary collaboration.</w:t>
      </w:r>
    </w:p>
    <w:p>
      <w:pPr>
        <w:pStyle w:val="BodyText"/>
      </w:pPr>
      <w:r>
        <w:t xml:space="preserve">The city of Guangzhou, historically known as Canton, has evolved from a historic trading port into a modern technological powerhouse. For the</w:t>
      </w:r>
      <w:r>
        <w:t xml:space="preserve"> </w:t>
      </w:r>
      <w:r>
        <w:rPr>
          <w:bCs/>
          <w:b/>
        </w:rPr>
        <w:t xml:space="preserve">Academic Researcher</w:t>
      </w:r>
      <w:r>
        <w:t xml:space="preserve">, this transformation presents both unprecedented opportunities and complex bureaucratic hurdles. The following sections detail the specific conditions under which research is conducted in this region.</w:t>
      </w:r>
    </w:p>
    <w:bookmarkEnd w:id="20"/>
    <w:bookmarkStart w:id="21" w:name="X766cba1f84519e3e7730609cc222d615f82e038"/>
    <w:p>
      <w:pPr>
        <w:pStyle w:val="Heading2"/>
      </w:pPr>
      <w:r>
        <w:t xml:space="preserve">2. Contextual Background: Guangzhou as a Scientific Hub</w:t>
      </w:r>
    </w:p>
    <w:p>
      <w:pPr>
        <w:pStyle w:val="FirstParagraph"/>
      </w:pPr>
      <w:r>
        <w:t xml:space="preserve">To understand the position of an</w:t>
      </w:r>
      <w:r>
        <w:t xml:space="preserve"> </w:t>
      </w:r>
      <w:r>
        <w:rPr>
          <w:bCs/>
          <w:b/>
        </w:rPr>
        <w:t xml:space="preserve">Academic Researcher</w:t>
      </w:r>
      <w:r>
        <w:t xml:space="preserve">, one must first appreciate the infrastructure of</w:t>
      </w:r>
      <w:r>
        <w:t xml:space="preserve"> </w:t>
      </w:r>
      <w:r>
        <w:rPr>
          <w:bCs/>
          <w:b/>
        </w:rPr>
        <w:t xml:space="preserve">China Guangzhou</w:t>
      </w:r>
      <w:r>
        <w:t xml:space="preserve">. The city is home to several prestigious institutions, including Sun Yat-sen University and South China University of Technology. These institutions serve as engines for innovation in fields ranging from biomedical engineering to artificial intelligence.</w:t>
      </w:r>
    </w:p>
    <w:p>
      <w:pPr>
        <w:pStyle w:val="BodyText"/>
      </w:pPr>
      <w:r>
        <w:rPr>
          <w:bCs/>
          <w:b/>
        </w:rPr>
        <w:t xml:space="preserve">China Guangzhou</w:t>
      </w:r>
      <w:r>
        <w:t xml:space="preserve"> </w:t>
      </w:r>
      <w:r>
        <w:t xml:space="preserve">is also a critical node in the Greater Bay Area (GBA) initiative, a strategic development plan aimed at integrating Hong Kong, Macau, and nine cities of the Pearl River Delta. This geopolitical context means that an</w:t>
      </w:r>
      <w:r>
        <w:t xml:space="preserve"> </w:t>
      </w:r>
      <w:r>
        <w:rPr>
          <w:bCs/>
          <w:b/>
        </w:rPr>
        <w:t xml:space="preserve">Academic Researcher</w:t>
      </w:r>
      <w:r>
        <w:t xml:space="preserve"> </w:t>
      </w:r>
      <w:r>
        <w:t xml:space="preserve">here is often expected to bridge international standards with local industrial applications. The funding landscape is diverse, involving national grants from Beijing as well as substantial provincial support from Guangdong authorities.</w:t>
      </w:r>
    </w:p>
    <w:bookmarkEnd w:id="21"/>
    <w:bookmarkStart w:id="22" w:name="profile-of-the-academic-researcher"/>
    <w:p>
      <w:pPr>
        <w:pStyle w:val="Heading2"/>
      </w:pPr>
      <w:r>
        <w:t xml:space="preserve">3. Profile of the Academic Researcher</w:t>
      </w:r>
    </w:p>
    <w:p>
      <w:pPr>
        <w:pStyle w:val="FirstParagraph"/>
      </w:pPr>
      <w:r>
        <w:t xml:space="preserve">The subject of this case study, referred to herein as "Dr. Li" for confidentiality, holds a PhD in Materials Science and has served as a Senior Faculty Member at a leading university in Guangzhou for eight years. Dr. Li’s primary focus is on developing sustainable nanomaterials for electronic applications.</w:t>
      </w:r>
    </w:p>
    <w:p>
      <w:pPr>
        <w:pStyle w:val="BodyText"/>
      </w:pPr>
      <w:r>
        <w:rPr>
          <w:bCs/>
          <w:b/>
        </w:rPr>
        <w:t xml:space="preserve">Professional Responsibilities:</w:t>
      </w:r>
    </w:p>
    <w:p>
      <w:pPr>
        <w:numPr>
          <w:ilvl w:val="0"/>
          <w:numId w:val="1001"/>
        </w:numPr>
        <w:pStyle w:val="Compact"/>
      </w:pPr>
      <w:r>
        <w:rPr>
          <w:bCs/>
          <w:b/>
        </w:rPr>
        <w:t xml:space="preserve">Laboratory Management:</w:t>
      </w:r>
      <w:r>
        <w:t xml:space="preserve"> </w:t>
      </w:r>
      <w:r>
        <w:t xml:space="preserve">Overseeing a team of ten graduate students and postdoctoral fellows.</w:t>
      </w:r>
    </w:p>
    <w:p>
      <w:pPr>
        <w:numPr>
          <w:ilvl w:val="0"/>
          <w:numId w:val="1001"/>
        </w:numPr>
        <w:pStyle w:val="Compact"/>
      </w:pPr>
      <w:r>
        <w:rPr>
          <w:bCs/>
          <w:b/>
        </w:rPr>
        <w:t xml:space="preserve">Funding Acquisition:</w:t>
      </w:r>
    </w:p>
    <w:p>
      <w:pPr>
        <w:numPr>
          <w:ilvl w:val="0"/>
          <w:numId w:val="1001"/>
        </w:numPr>
        <w:pStyle w:val="Compact"/>
      </w:pPr>
      <w:r>
        <w:t xml:space="preserve">Industry Collaboration:</w:t>
      </w:r>
    </w:p>
    <w:bookmarkEnd w:id="22"/>
    <w:bookmarkStart w:id="26" w:name="X3325be4c716d413b9d3b6fec8763163b7d9bf5e"/>
    <w:p>
      <w:pPr>
        <w:pStyle w:val="Heading2"/>
      </w:pPr>
      <w:r>
        <w:t xml:space="preserve">4. Key Challenges Faced by the Academic Researcher</w:t>
      </w:r>
    </w:p>
    <w:bookmarkStart w:id="23" w:name="bureaucratic-complexity-in-china"/>
    <w:p>
      <w:pPr>
        <w:pStyle w:val="Heading3"/>
      </w:pPr>
      <w:r>
        <w:t xml:space="preserve">4.1 Bureaucratic Complexity in China</w:t>
      </w:r>
    </w:p>
    <w:p>
      <w:pPr>
        <w:pStyle w:val="FirstParagraph"/>
      </w:pPr>
      <w:r>
        <w:t xml:space="preserve">Navigating the administrative landscape in Academic Researcher must dedicate significant time to paperwork, which often detracts from hands-on experimental work.</w:t>
      </w:r>
    </w:p>
    <w:bookmarkEnd w:id="23"/>
    <w:bookmarkStart w:id="24" w:name="competition-and-performance-metrics"/>
    <w:p>
      <w:pPr>
        <w:pStyle w:val="Heading3"/>
      </w:pPr>
      <w:r>
        <w:t xml:space="preserve">4.2 Competition and Performance Metrics</w:t>
      </w:r>
    </w:p>
    <w:p>
      <w:pPr>
        <w:pStyle w:val="FirstParagraph"/>
      </w:pPr>
      <w:r>
        <w:t xml:space="preserve">The academic environment in China is highly competitive. Publications in high-impact journals are the primary metric for career advancement. For an</w:t>
      </w:r>
      <w:r>
        <w:t xml:space="preserve"> </w:t>
      </w:r>
      <w:r>
        <w:rPr>
          <w:bCs/>
          <w:b/>
        </w:rPr>
        <w:t xml:space="preserve">Academic Researcher</w:t>
      </w:r>
      <w:r>
        <w:t xml:space="preserve">, the pressure to produce rapid results is immense, especially when tied to performance-based bonuses and tenure tracks. In , where many young researchers compete for limited positions, this pressure is exacerbated by the city's high cost of living and housing market.</w:t>
      </w:r>
    </w:p>
    <w:bookmarkEnd w:id="24"/>
    <w:bookmarkStart w:id="25" w:name="bridging-theory-and-industry"/>
    <w:p>
      <w:pPr>
        <w:pStyle w:val="Heading3"/>
      </w:pPr>
      <w:r>
        <w:t xml:space="preserve">4.3 Bridging Theory and Industry</w:t>
      </w:r>
    </w:p>
    <w:p>
      <w:pPr>
        <w:pStyle w:val="FirstParagraph"/>
      </w:pPr>
      <w:r>
        <w:t xml:space="preserve">A unique challenge in this region is the expectation to commercialize research. Unlike Western universities where intellectual property rights might remain strictly within academia, institutions in encourage spin-offs and startups. The must balance rigorous scientific inquiry with the pragmatic demands of industry partners, who often seek short-term solutions.</w:t>
      </w:r>
    </w:p>
    <w:bookmarkEnd w:id="25"/>
    <w:bookmarkEnd w:id="26"/>
    <w:bookmarkStart w:id="27" w:name="opportunities-and-strategic-advantages"/>
    <w:p>
      <w:pPr>
        <w:pStyle w:val="Heading2"/>
      </w:pPr>
      <w:r>
        <w:t xml:space="preserve">5. Opportunities and Strategic Advantages</w:t>
      </w:r>
    </w:p>
    <w:p>
      <w:pPr>
        <w:numPr>
          <w:ilvl w:val="0"/>
          <w:numId w:val="1002"/>
        </w:numPr>
        <w:pStyle w:val="Compact"/>
      </w:pPr>
      <w:r>
        <w:rPr>
          <w:bCs/>
          <w:b/>
        </w:rPr>
        <w:t xml:space="preserve">Funding Availability:</w:t>
      </w:r>
    </w:p>
    <w:p>
      <w:pPr>
        <w:numPr>
          <w:ilvl w:val="0"/>
          <w:numId w:val="1002"/>
        </w:numPr>
        <w:pStyle w:val="Compact"/>
      </w:pPr>
      <w:r>
        <w:rPr>
          <w:bCs/>
          <w:b/>
        </w:rPr>
        <w:t xml:space="preserve">Ecosystem Integration：</w:t>
      </w:r>
    </w:p>
    <w:p>
      <w:pPr>
        <w:numPr>
          <w:ilvl w:val="0"/>
          <w:numId w:val="1002"/>
        </w:numPr>
        <w:pStyle w:val="Compact"/>
      </w:pPr>
      <w:r>
        <w:t xml:space="preserve">Guangzhou hosts numerous international conferences and exchange programs. Researchers here have easier access to global networks compared to more inland cities.</w:t>
      </w:r>
    </w:p>
    <w:bookmarkEnd w:id="27"/>
    <w:bookmarkStart w:id="28" w:name="X0bceddb2aac1e77a5d49b228db6ad7d8dfc9e43"/>
    <w:p>
      <w:pPr>
        <w:pStyle w:val="Heading2"/>
      </w:pPr>
      <w:r>
        <w:t xml:space="preserve">6. Case Analysis: Dr. Li’s Project on Nanomaterials</w:t>
      </w:r>
    </w:p>
    <w:p>
      <w:pPr>
        <w:pStyle w:val="FirstParagraph"/>
      </w:pPr>
      <w:r>
        <w:t xml:space="preserve">To illustrate the practical application of these factors, consider Dr. Li’s recent project funded by a Guangzhou municipal grant. The goal was to create biodegradable conductive films for wearable health monitors.</w:t>
      </w:r>
    </w:p>
    <w:p>
      <w:pPr>
        <w:pStyle w:val="BodyText"/>
      </w:pPr>
      <w:r>
        <w:rPr>
          <w:bCs/>
          <w:b/>
        </w:rPr>
        <w:t xml:space="preserve">Phase 1: Research Design:</w:t>
      </w:r>
    </w:p>
    <w:p>
      <w:pPr>
        <w:pStyle w:val="BodyText"/>
      </w:pPr>
      <w:r>
        <w:t xml:space="preserve">Phase 2: Industry Partnership:</w:t>
      </w:r>
    </w:p>
    <w:p>
      <w:pPr>
        <w:pStyle w:val="BodyText"/>
      </w:pPr>
      <w:r>
        <w:rPr>
          <w:bCs/>
          <w:b/>
        </w:rPr>
        <w:t xml:space="preserve">Phase 3: Publication and Patenting:</w:t>
      </w:r>
    </w:p>
    <w:p>
      <w:pPr>
        <w:pStyle w:val="BodyText"/>
      </w:pPr>
      <w:r>
        <w:t xml:space="preserve">This case exemplifies how an in this specific locale can leverage local resources to achieve both academic prestige and economic impact.</w:t>
      </w:r>
    </w:p>
    <w:bookmarkEnd w:id="28"/>
    <w:bookmarkStart w:id="29" w:name="conclusion-and-recommendations"/>
    <w:p>
      <w:pPr>
        <w:pStyle w:val="Heading2"/>
      </w:pPr>
      <w:r>
        <w:t xml:space="preserve">7. Conclusion and Recommendations</w:t>
      </w:r>
    </w:p>
    <w:p>
      <w:pPr>
        <w:pStyle w:val="FirstParagraph"/>
      </w:pPr>
      <w:r>
        <w:t xml:space="preserve">The experience of the Academic Researcher in China Guangzhou is characterized by a dynamic tension between traditional scholarly goals and rapid industrial application. The region offers unparalleled funding, infrastructure, and industry links that are critical for modern scientific breakthroughs.</w:t>
      </w:r>
    </w:p>
    <w:p>
      <w:pPr>
        <w:pStyle w:val="BodyText"/>
      </w:pPr>
      <w:r>
        <w:rPr>
          <w:bCs/>
          <w:b/>
        </w:rPr>
        <w:t xml:space="preserve">Recommendations for Aspiring Researchers:</w:t>
      </w:r>
    </w:p>
    <w:p>
      <w:pPr>
        <w:numPr>
          <w:ilvl w:val="0"/>
          <w:numId w:val="1003"/>
        </w:numPr>
        <w:pStyle w:val="Compact"/>
      </w:pPr>
      <w:r>
        <w:t xml:space="preserve">Cultural Adaptation: Understanding local administrative norms is as important as scientific expertise.</w:t>
      </w:r>
    </w:p>
    <w:p>
      <w:pPr>
        <w:numPr>
          <w:ilvl w:val="0"/>
          <w:numId w:val="1000"/>
        </w:numPr>
        <w:pStyle w:val="Compact"/>
      </w:pPr>
      <w:r>
        <w:t xml:space="preserve">Nuance Building：</w:t>
      </w:r>
    </w:p>
    <w:p>
      <w:pPr>
        <w:numPr>
          <w:ilvl w:val="0"/>
          <w:numId w:val="1000"/>
        </w:numPr>
        <w:pStyle w:val="Compact"/>
      </w:pPr>
      <w:r>
        <w:t xml:space="preserve">Patient Strategic Planning：</w:t>
      </w:r>
    </w:p>
    <w:p>
      <w:pPr>
        <w:pStyle w:val="FirstParagraph"/>
      </w:pPr>
      <w:r>
        <w:t xml:space="preserve">In conclusion, the Academic Researcher in China Guangzhou operates at the forefront of a new era of scientific innovation. By navigating the complexities of location and bureaucracy effectively, they contribute significantly to both global knowledge and local economic development. This case study highlights that success in this role requires not only intellectual rigor but also strategic agility and cultural intelligence.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Researcher in China Guangzhou</dc:title>
  <dc:creator/>
  <dc:language>en</dc:language>
  <cp:keywords/>
  <dcterms:created xsi:type="dcterms:W3CDTF">2026-07-29T15:27:11Z</dcterms:created>
  <dcterms:modified xsi:type="dcterms:W3CDTF">2026-07-29T15:27:11Z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