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Colombia</w:t>
      </w:r>
      <w:r>
        <w:t xml:space="preserve"> </w:t>
      </w:r>
      <w:r>
        <w:t xml:space="preserve">Bogotá</w:t>
      </w:r>
    </w:p>
    <w:bookmarkStart w:id="26" w:name="X1ad940e79ace82e33e517394718831897e9ce5f"/>
    <w:p>
      <w:pPr>
        <w:pStyle w:val="Heading1"/>
      </w:pPr>
      <w:r>
        <w:t xml:space="preserve">Case Study: The Academic Researcher in Colombia Bogotá</w:t>
      </w:r>
    </w:p>
    <w:p>
      <w:pPr>
        <w:pStyle w:val="FirstParagraph"/>
      </w:pPr>
      <w:r>
        <w:br/>
      </w:r>
    </w:p>
    <w:p>
      <w:pPr>
        <w:pStyle w:val="BodyText"/>
      </w:pPr>
      <w:r>
        <w:t xml:space="preserve">In the dynamic and evolving landscape of higher education and scientific inquiry within Latin America, the figure of the</w:t>
      </w:r>
      <w:r>
        <w:t xml:space="preserve"> </w:t>
      </w:r>
      <w:r>
        <w:t xml:space="preserve">Academic Researcher</w:t>
      </w:r>
      <w:r>
        <w:t xml:space="preserve"> </w:t>
      </w:r>
      <w:r>
        <w:t xml:space="preserve">plays a pivotal role. This document presents a detailed case study focusing on the specific environment, challenges, opportunities, and socio-economic impacts associated with academic research conducted in</w:t>
      </w:r>
      <w:r>
        <w:t xml:space="preserve"> </w:t>
      </w:r>
      <w:r>
        <w:t xml:space="preserve">Colombia Bogotá</w:t>
      </w:r>
      <w:r>
        <w:t xml:space="preserve">. As the capital city serves as the intellectual heart of Colombia, understanding this context is essential for stakeholders involved in educational policy, international cooperation, and scientific development.</w:t>
      </w:r>
    </w:p>
    <w:p>
      <w:pPr>
        <w:pStyle w:val="BodyText"/>
      </w:pPr>
      <w:r>
        <w:t xml:space="preserve">Bogotá stands out as a major hub for knowledge production in South America. It is home to some of the country's most prestigious institutions of higher learning and research centers. The</w:t>
      </w:r>
      <w:r>
        <w:t xml:space="preserve"> </w:t>
      </w:r>
      <w:r>
        <w:t xml:space="preserve">Academic Researcher</w:t>
      </w:r>
      <w:r>
        <w:t xml:space="preserve"> </w:t>
      </w:r>
      <w:r>
        <w:t xml:space="preserve">operating within this ecosystem navigates a complex matrix of institutional expectations, funding limitations, societal demands, and global integration pressures. This case study explores these dynamics in depth.</w:t>
      </w:r>
    </w:p>
    <w:bookmarkStart w:id="20" w:name="the-institutional-framework-in-bogotá"/>
    <w:p>
      <w:pPr>
        <w:pStyle w:val="Heading2"/>
      </w:pPr>
      <w:r>
        <w:t xml:space="preserve">The Institutional Framework in Bogotá</w:t>
      </w:r>
    </w:p>
    <w:p>
      <w:pPr>
        <w:pStyle w:val="FirstParagraph"/>
      </w:pPr>
      <w:r>
        <w:br/>
      </w:r>
    </w:p>
    <w:p>
      <w:pPr>
        <w:pStyle w:val="BodyText"/>
      </w:pPr>
      <w:r>
        <w:t xml:space="preserve">The foundation of academic research in</w:t>
      </w:r>
      <w:r>
        <w:t xml:space="preserve"> </w:t>
      </w:r>
      <w:r>
        <w:t xml:space="preserve">Colombia Bogotá</w:t>
      </w:r>
      <w:r>
        <w:t xml:space="preserve"> </w:t>
      </w:r>
      <w:r>
        <w:t xml:space="preserve">rests upon a robust network of public and private universities. Institutions such as the Universidad Nacional de Colombia, Los Andes University, Pontificia Universidad Javeriana, and theUniversidad de los Andes attract top-tier talent from across the region. For an</w:t>
      </w:r>
      <w:r>
        <w:t xml:space="preserve"> </w:t>
      </w:r>
      <w:r>
        <w:t xml:space="preserve">Academic Researcher</w:t>
      </w:r>
      <w:r>
        <w:t xml:space="preserve">, these institutions provide not only laboratory facilities and libraries but also a collaborative community essential for interdisciplinary work.</w:t>
      </w:r>
    </w:p>
    <w:p>
      <w:pPr>
        <w:pStyle w:val="BodyText"/>
      </w:pPr>
      <w:r>
        <w:t xml:space="preserve">However, the structural integrity of this framework is often tested by bureaucratic hurdles. Administrative processes regarding procurement, ethics committee approvals, and grant management can be time-consuming. Researchers must possess strong administrative acumen alongside their scientific expertise to navigate these institutional landscapes effectively. The case study highlights that successful</w:t>
      </w:r>
      <w:r>
        <w:t xml:space="preserve"> </w:t>
      </w:r>
      <w:r>
        <w:t xml:space="preserve">Academic Researcher</w:t>
      </w:r>
      <w:r>
        <w:t xml:space="preserve"> </w:t>
      </w:r>
      <w:r>
        <w:t xml:space="preserve">profiles in Bogotá are those who balance technical excellence with organizational navigation skills.</w:t>
      </w:r>
    </w:p>
    <w:bookmarkEnd w:id="20"/>
    <w:bookmarkStart w:id="21" w:name="X4591bc394d97110acf977c95b74a77a5b9e09ff"/>
    <w:p>
      <w:pPr>
        <w:pStyle w:val="Heading2"/>
      </w:pPr>
      <w:r>
        <w:t xml:space="preserve">Funding Landscape and Economic Constraints</w:t>
      </w:r>
    </w:p>
    <w:p>
      <w:pPr>
        <w:pStyle w:val="FirstParagraph"/>
      </w:pPr>
      <w:r>
        <w:br/>
      </w:r>
    </w:p>
    <w:p>
      <w:pPr>
        <w:pStyle w:val="BodyText"/>
      </w:pPr>
      <w:r>
        <w:t xml:space="preserve">A critical aspect of being an</w:t>
      </w:r>
      <w:r>
        <w:t xml:space="preserve"> </w:t>
      </w:r>
      <w:r>
        <w:t xml:space="preserve">Academic Researcher</w:t>
      </w:r>
      <w:r>
        <w:t xml:space="preserve"> </w:t>
      </w:r>
      <w:r>
        <w:t xml:space="preserve">in</w:t>
      </w:r>
      <w:r>
        <w:t xml:space="preserve"> </w:t>
      </w:r>
      <w:r>
        <w:t xml:space="preserve">Colombia Bogotá</w:t>
      </w:r>
      <w:r>
        <w:t xml:space="preserve"> </w:t>
      </w:r>
      <w:r>
        <w:t xml:space="preserve">is the reliance on diverse funding sources. While government agencies like Minciencias (Ministry of Science, Technology and Innovation) play a significant role, their budgets are often subject to political cycles and economic fluctuations. Consequently, many researchers turn to international grants, partnerships with multinational corporations, and collaborative projects with European or North American universities.</w:t>
      </w:r>
    </w:p>
    <w:p>
      <w:pPr>
        <w:pStyle w:val="BodyText"/>
      </w:pPr>
      <w:r>
        <w:t xml:space="preserve">This reliance on external funding introduces a layer of dependency that can influence research priorities. There is an ongoing tension between globally funded agendas and locally relevant problems. The case study suggests that the most impactful</w:t>
      </w:r>
      <w:r>
        <w:t xml:space="preserve"> </w:t>
      </w:r>
      <w:r>
        <w:t xml:space="preserve">Academic Researcher</w:t>
      </w:r>
      <w:r>
        <w:t xml:space="preserve"> </w:t>
      </w:r>
      <w:r>
        <w:t xml:space="preserve">in Bogotá are those who skillfully align international funding opportunities with local societal needs, ensuring that their work contributes directly to the development of</w:t>
      </w:r>
      <w:r>
        <w:t xml:space="preserve"> </w:t>
      </w:r>
      <w:r>
        <w:t xml:space="preserve">Colombia Bogotá</w:t>
      </w:r>
      <w:r>
        <w:t xml:space="preserve">.</w:t>
      </w:r>
    </w:p>
    <w:bookmarkEnd w:id="21"/>
    <w:bookmarkStart w:id="22" w:name="X2a661195a5bd07b911a34bf15871883b43d9466"/>
    <w:p>
      <w:pPr>
        <w:pStyle w:val="Heading2"/>
      </w:pPr>
      <w:r>
        <w:t xml:space="preserve">Societal Relevance and Community Engagement</w:t>
      </w:r>
    </w:p>
    <w:p>
      <w:pPr>
        <w:pStyle w:val="FirstParagraph"/>
      </w:pPr>
      <w:r>
        <w:br/>
      </w:r>
    </w:p>
    <w:p>
      <w:pPr>
        <w:pStyle w:val="BodyText"/>
      </w:pPr>
      <w:r>
        <w:t xml:space="preserve">In recent years, there has been a paradigm shift in academia towards greater social responsibility. The</w:t>
      </w:r>
      <w:r>
        <w:t xml:space="preserve"> </w:t>
      </w:r>
      <w:r>
        <w:t xml:space="preserve">Academic Researcher</w:t>
      </w:r>
      <w:r>
        <w:t xml:space="preserve"> </w:t>
      </w:r>
      <w:r>
        <w:t xml:space="preserve">is no longer viewed solely as an observer of phenomena but as an active participant in solving community challenges. In</w:t>
      </w:r>
      <w:r>
        <w:t xml:space="preserve"> </w:t>
      </w:r>
      <w:r>
        <w:t xml:space="preserve">Colombia Bogotá</w:t>
      </w:r>
      <w:r>
        <w:t xml:space="preserve">, this manifests in research related to urban mobility, public health crises, environmental sustainability in the Andean region, and social inclusion.</w:t>
      </w:r>
    </w:p>
    <w:p>
      <w:pPr>
        <w:pStyle w:val="BodyText"/>
      </w:pPr>
      <w:r>
        <w:t xml:space="preserve">For instance, researchers focusing on traffic congestion or air quality must engage directly with city planners and citizens. Similarly, those studying public health must collaborate with local hospitals and community organizations. This approach ensures that the knowledge generated is not confined to academic journals but has tangible applications in improving the quality of life for residents of</w:t>
      </w:r>
      <w:r>
        <w:t xml:space="preserve"> </w:t>
      </w:r>
      <w:r>
        <w:t xml:space="preserve">Colombia Bogotá</w:t>
      </w:r>
      <w:r>
        <w:t xml:space="preserve">. The case study emphasizes that impact metrics are becoming as important as citation counts in evaluating the success of an</w:t>
      </w:r>
      <w:r>
        <w:t xml:space="preserve"> </w:t>
      </w:r>
      <w:r>
        <w:t xml:space="preserve">Academic Researcher</w:t>
      </w:r>
      <w:r>
        <w:t xml:space="preserve">.</w:t>
      </w:r>
    </w:p>
    <w:bookmarkEnd w:id="22"/>
    <w:bookmarkStart w:id="23" w:name="Xa67d2a13b9358009714ab98a71ec52388581d24"/>
    <w:p>
      <w:pPr>
        <w:pStyle w:val="Heading2"/>
      </w:pPr>
      <w:r>
        <w:t xml:space="preserve">Challenges and Opportunities for Career Development</w:t>
      </w:r>
    </w:p>
    <w:p>
      <w:pPr>
        <w:pStyle w:val="FirstParagraph"/>
      </w:pPr>
      <w:r>
        <w:br/>
      </w:r>
    </w:p>
    <w:p>
      <w:pPr>
        <w:pStyle w:val="BodyText"/>
      </w:pPr>
      <w:r>
        <w:t xml:space="preserve">Career progression for an</w:t>
      </w:r>
      <w:r>
        <w:t xml:space="preserve"> </w:t>
      </w:r>
      <w:r>
        <w:t xml:space="preserve">Academic Researcher</w:t>
      </w:r>
      <w:r>
        <w:t xml:space="preserve"> </w:t>
      </w:r>
      <w:r>
        <w:t xml:space="preserve">in Colombia is competitive. The "Sistema Nacional de Investigación" (National Research System) offers categorizations that recognize productivity and impact, providing prestige and modest financial incentives. However, salaries for researchers often lag behind those in the private sector, leading to a brain drain where talented individuals seek opportunities abroad.</w:t>
      </w:r>
    </w:p>
    <w:p>
      <w:pPr>
        <w:pStyle w:val="BodyText"/>
      </w:pPr>
      <w:r>
        <w:t xml:space="preserve">To mitigate this, there is a growing emphasis on creating sustainable career paths within universities in</w:t>
      </w:r>
      <w:r>
        <w:t xml:space="preserve"> </w:t>
      </w:r>
      <w:r>
        <w:t xml:space="preserve">Colombia Bogotá</w:t>
      </w:r>
      <w:r>
        <w:t xml:space="preserve">. This includes offering competitive benefits, clear promotion criteria based on merit rather than seniority only, and support for continuous professional development. The case study identifies that retention strategies are crucial for maintaining the intellectual capital of the city.</w:t>
      </w:r>
    </w:p>
    <w:bookmarkEnd w:id="23"/>
    <w:bookmarkStart w:id="24" w:name="technological-integration-and-innovation"/>
    <w:p>
      <w:pPr>
        <w:pStyle w:val="Heading2"/>
      </w:pPr>
      <w:r>
        <w:t xml:space="preserve">Technological Integration and Innovation</w:t>
      </w:r>
    </w:p>
    <w:p>
      <w:pPr>
        <w:pStyle w:val="FirstParagraph"/>
      </w:pPr>
      <w:r>
        <w:br/>
      </w:r>
    </w:p>
    <w:p>
      <w:pPr>
        <w:pStyle w:val="BodyText"/>
      </w:pPr>
      <w:r>
        <w:t xml:space="preserve">The digital transformation has opened new avenues for</w:t>
      </w:r>
      <w:r>
        <w:t xml:space="preserve"> </w:t>
      </w:r>
      <w:r>
        <w:t xml:space="preserve">Academic Researcher</w:t>
      </w:r>
      <w:r>
        <w:t xml:space="preserve"> </w:t>
      </w:r>
      <w:r>
        <w:t xml:space="preserve">profiles in</w:t>
      </w:r>
      <w:r>
        <w:t xml:space="preserve"> </w:t>
      </w:r>
      <w:r>
        <w:t xml:space="preserve">Colombia Bogotá</w:t>
      </w:r>
      <w:r>
        <w:t xml:space="preserve">. Access to big data, artificial intelligence tools, and remote collaboration platforms allows researchers to tackle complex problems that were previously insurmountable. Startups and tech hubs in Bogotá provide fertile ground for applied research, fostering partnerships between academia and industry.</w:t>
      </w:r>
    </w:p>
    <w:p>
      <w:pPr>
        <w:pStyle w:val="BodyText"/>
      </w:pPr>
      <w:r>
        <w:t xml:space="preserve">This synergy accelerates innovation. For example, researchers in biotechnology or agricultural sciences can test their prototypes with local companies before scaling up. The case study highlights that adaptability to new technologies is a key competency for modern</w:t>
      </w:r>
      <w:r>
        <w:t xml:space="preserve"> </w:t>
      </w:r>
      <w:r>
        <w:t xml:space="preserve">Academic Researcher</w:t>
      </w:r>
      <w:r>
        <w:t xml:space="preserve"> </w:t>
      </w:r>
      <w:r>
        <w:t xml:space="preserve">profiles.</w:t>
      </w:r>
    </w:p>
    <w:bookmarkEnd w:id="24"/>
    <w:bookmarkStart w:id="25" w:name="conclusion-the-path-forward"/>
    <w:p>
      <w:pPr>
        <w:pStyle w:val="Heading2"/>
      </w:pPr>
      <w:r>
        <w:t xml:space="preserve">Conclusion: The Path Forward</w:t>
      </w:r>
    </w:p>
    <w:p>
      <w:pPr>
        <w:pStyle w:val="FirstParagraph"/>
      </w:pPr>
      <w:r>
        <w:br/>
      </w:r>
    </w:p>
    <w:p>
      <w:pPr>
        <w:pStyle w:val="BodyText"/>
      </w:pPr>
      <w:r>
        <w:t xml:space="preserve">In conclusion, the role of the</w:t>
      </w:r>
      <w:r>
        <w:t xml:space="preserve"> </w:t>
      </w:r>
      <w:r>
        <w:t xml:space="preserve">Academic Researcher</w:t>
      </w:r>
      <w:r>
        <w:t xml:space="preserve"> </w:t>
      </w:r>
      <w:r>
        <w:t xml:space="preserve">in</w:t>
      </w:r>
      <w:r>
        <w:t xml:space="preserve"> </w:t>
      </w:r>
      <w:r>
        <w:t xml:space="preserve">Colombia Bogotá</w:t>
      </w:r>
      <w:r>
        <w:t xml:space="preserve"> </w:t>
      </w:r>
      <w:r>
        <w:t xml:space="preserve">is multifaceted and critical to the nation's progress. While challenges such as funding instability and administrative burdens persist, the opportunities for impactful work are abundant. By fostering a supportive ecosystem that values both global competitiveness and local relevance, Colombia can harness the full potential of its academic community.</w:t>
      </w:r>
    </w:p>
    <w:p>
      <w:pPr>
        <w:pStyle w:val="BodyText"/>
      </w:pPr>
      <w:r>
        <w:t xml:space="preserve">Policymakers, university leaders, and international partners must continue to invest in infrastructure, training, and collaborative networks. The goal should be to empower each</w:t>
      </w:r>
      <w:r>
        <w:t xml:space="preserve"> </w:t>
      </w:r>
      <w:r>
        <w:t xml:space="preserve">Academic Researcher</w:t>
      </w:r>
      <w:r>
        <w:t xml:space="preserve"> </w:t>
      </w:r>
      <w:r>
        <w:t xml:space="preserve">to contribute meaningfully to the intellectual and social fabric of</w:t>
      </w:r>
      <w:r>
        <w:t xml:space="preserve"> </w:t>
      </w:r>
      <w:r>
        <w:t xml:space="preserve">Colombia Bogotá</w:t>
      </w:r>
      <w:r>
        <w:t xml:space="preserve">. Through sustained commitment and strategic alignment, the academic research community can serve as a beacon of innovation and knowledge for Latin America.</w:t>
      </w:r>
    </w:p>
    <w:p>
      <w:pPr>
        <w:pStyle w:val="BodyText"/>
      </w:pPr>
      <w:r>
        <w:t xml:space="preserve">This case study serves as a testament to the resilience and creativity inherent in Colombian academia. It underscores the importance of recognizing and supporting</w:t>
      </w:r>
      <w:r>
        <w:t xml:space="preserve"> </w:t>
      </w:r>
      <w:r>
        <w:t xml:space="preserve">Academic Researcher</w:t>
      </w:r>
      <w:r>
        <w:t xml:space="preserve"> </w:t>
      </w:r>
      <w:r>
        <w:t xml:space="preserve">contributions not just within university walls but across all sectors of society in</w:t>
      </w:r>
      <w:r>
        <w:t xml:space="preserve"> </w:t>
      </w:r>
      <w:r>
        <w:t xml:space="preserve">Colombia Bogotá</w:t>
      </w:r>
      <w:r>
        <w:t xml:space="preserve">. As we move forward, collaboration will remain key to addressing the complex challenges of our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Colombia Bogotá</dc:title>
  <dc:creator/>
  <dc:language>en</dc:language>
  <cp:keywords/>
  <dcterms:created xsi:type="dcterms:W3CDTF">2026-07-29T07:22:25Z</dcterms:created>
  <dcterms:modified xsi:type="dcterms:W3CDTF">2026-07-29T07:22:25Z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