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Lyon</w:t>
      </w:r>
    </w:p>
    <w:bookmarkStart w:id="34" w:name="Xe575140a6705fec4d1db27bdc833972adf53916"/>
    <w:p>
      <w:pPr>
        <w:pStyle w:val="Heading1"/>
      </w:pPr>
      <w:r>
        <w:rPr>
          <w:bCs/>
          <w:b/>
        </w:rPr>
        <w:t xml:space="preserve">A Case Study of the Academic Researcher in France Lyon</w:t>
      </w:r>
    </w:p>
    <w:p>
      <w:pPr>
        <w:pStyle w:val="FirstParagraph"/>
      </w:pPr>
      <w:r>
        <w:rPr>
          <w:iCs/>
          <w:i/>
        </w:rPr>
        <w:t xml:space="preserve">This document provides a comprehensive analysis of the role, challenges, and opportunities faced by an academic researcher operating within the unique ecosystem of France Lyon. It is designed to inform stakeholders regarding institutional support structures, cultural integration requirements, and strategic research priorities specific to this region.</w:t>
      </w:r>
    </w:p>
    <w:bookmarkStart w:id="20" w:name="executive-summary"/>
    <w:p>
      <w:pPr>
        <w:pStyle w:val="Heading2"/>
      </w:pPr>
      <w:r>
        <w:t xml:space="preserve">1. Executive Summary</w:t>
      </w:r>
    </w:p>
    <w:p>
      <w:pPr>
        <w:pStyle w:val="FirstParagraph"/>
      </w:pPr>
      <w:r>
        <w:t xml:space="preserve">This case study examines the professional journey and operational context of an</w:t>
      </w:r>
      <w:r>
        <w:t xml:space="preserve"> </w:t>
      </w:r>
      <w:r>
        <w:rPr>
          <w:bCs/>
          <w:b/>
        </w:rPr>
        <w:t xml:space="preserve">Academic Researcher</w:t>
      </w:r>
      <w:r>
        <w:t xml:space="preserve"> </w:t>
      </w:r>
      <w:r>
        <w:t xml:space="preserve">situated in the dynamic academic hub of</w:t>
      </w:r>
      <w:r>
        <w:t xml:space="preserve"> </w:t>
      </w:r>
      <w:r>
        <w:rPr>
          <w:bCs/>
          <w:b/>
        </w:rPr>
        <w:t xml:space="preserve">France Lyon</w:t>
      </w:r>
      <w:r>
        <w:t xml:space="preserve">. The city of Lyon, known for its historical significance as a center of silk manufacturing and modern prominence in biotechnology and digital sciences, offers a distinctive environment for scholarly work. This document explores how an individual researcher navigates the intersection of French national research policies with local institutional expectations. By analyzing the specific attributes of</w:t>
      </w:r>
      <w:r>
        <w:t xml:space="preserve"> </w:t>
      </w:r>
      <w:r>
        <w:rPr>
          <w:bCs/>
          <w:b/>
        </w:rPr>
        <w:t xml:space="preserve">France Lyon</w:t>
      </w:r>
      <w:r>
        <w:t xml:space="preserve">, we aim to highlight best practices for fostering innovation, ensuring regulatory compliance, and promoting interdisciplinary collaboration.</w:t>
      </w:r>
    </w:p>
    <w:bookmarkEnd w:id="20"/>
    <w:bookmarkStart w:id="21" w:name="contextual-background-the-lyon-ecosystem"/>
    <w:p>
      <w:pPr>
        <w:pStyle w:val="Heading2"/>
      </w:pPr>
      <w:r>
        <w:t xml:space="preserve">2. Contextual Background: The Lyon Ecosystem</w:t>
      </w:r>
    </w:p>
    <w:p>
      <w:pPr>
        <w:pStyle w:val="FirstParagraph"/>
      </w:pPr>
      <w:r>
        <w:t xml:space="preserve">Lyon is not merely a geographical location but a complex ecosystem that significantly influences the work of an</w:t>
      </w:r>
      <w:r>
        <w:t xml:space="preserve"> </w:t>
      </w:r>
      <w:r>
        <w:rPr>
          <w:bCs/>
          <w:b/>
        </w:rPr>
        <w:t xml:space="preserve">Academic Researcher</w:t>
      </w:r>
      <w:r>
        <w:t xml:space="preserve">. As the second-largest metropolitan area in France,</w:t>
      </w:r>
      <w:r>
        <w:t xml:space="preserve"> </w:t>
      </w:r>
      <w:r>
        <w:rPr>
          <w:bCs/>
          <w:b/>
        </w:rPr>
        <w:t xml:space="preserve">France Lyon</w:t>
      </w:r>
      <w:r>
        <w:t xml:space="preserve"> </w:t>
      </w:r>
      <w:r>
        <w:t xml:space="preserve">boasts a robust infrastructure comprising major universities, such as Université Claude Bernard Lyon 1 and Université Lumière Lyon 2, alongside specialized research institutes like the Pasteur Institute’s affiliated centers.</w:t>
      </w:r>
    </w:p>
    <w:p>
      <w:pPr>
        <w:pStyle w:val="BodyText"/>
      </w:pPr>
      <w:r>
        <w:t xml:space="preserve">The region is particularly renowned for its strengths in health sciences, pharmaceuticals, and artificial intelligence. For an</w:t>
      </w:r>
      <w:r>
        <w:t xml:space="preserve"> </w:t>
      </w:r>
      <w:r>
        <w:rPr>
          <w:bCs/>
          <w:b/>
        </w:rPr>
        <w:t xml:space="preserve">Academic Researcher</w:t>
      </w:r>
      <w:r>
        <w:t xml:space="preserve">, this concentration of expertise creates a fertile ground for collaboration but also demands a high degree of specialization. The local government and private sector actively seek partnerships with academia to drive economic growth through technology transfer and applied research.</w:t>
      </w:r>
    </w:p>
    <w:bookmarkEnd w:id="21"/>
    <w:bookmarkStart w:id="22" w:name="X69f08810dc24f0eb5cd7f873353f7d84c4bcc9f"/>
    <w:p>
      <w:pPr>
        <w:pStyle w:val="Heading2"/>
      </w:pPr>
      <w:r>
        <w:t xml:space="preserve">Key Characteristic: Strong Industry-Academia Linkages</w:t>
      </w:r>
    </w:p>
    <w:p>
      <w:pPr>
        <w:pStyle w:val="FirstParagraph"/>
      </w:pPr>
      <w:r>
        <w:t xml:space="preserve">In</w:t>
      </w:r>
      <w:r>
        <w:t xml:space="preserve"> </w:t>
      </w:r>
      <w:r>
        <w:rPr>
          <w:bCs/>
          <w:b/>
        </w:rPr>
        <w:t xml:space="preserve">France Lyon</w:t>
      </w:r>
      <w:r>
        <w:t xml:space="preserve">, the boundary between theoretical research and industrial application is porous. Researchers are expected to engage with local industries, ensuring that their findings have tangible economic or social impacts.</w:t>
      </w:r>
    </w:p>
    <w:bookmarkEnd w:id="22"/>
    <w:bookmarkStart w:id="25" w:name="profile-of-the-academic-researcher"/>
    <w:p>
      <w:pPr>
        <w:pStyle w:val="Heading2"/>
      </w:pPr>
      <w:r>
        <w:t xml:space="preserve">3. Profile of the Academic Researcher</w:t>
      </w:r>
    </w:p>
    <w:p>
      <w:pPr>
        <w:pStyle w:val="FirstParagraph"/>
      </w:pPr>
      <w:r>
        <w:t xml:space="preserve">The subject of this case study is Dr. Elena Rossi, an</w:t>
      </w:r>
      <w:r>
        <w:t xml:space="preserve"> </w:t>
      </w:r>
      <w:r>
        <w:rPr>
          <w:bCs/>
          <w:b/>
        </w:rPr>
        <w:t xml:space="preserve">Academic Researcher</w:t>
      </w:r>
      <w:r>
        <w:t xml:space="preserve"> </w:t>
      </w:r>
      <w:r>
        <w:t xml:space="preserve">specializing in molecular biology and genomic data analysis. Having secured a tenure-track position at a prominent university in</w:t>
      </w:r>
      <w:r>
        <w:t xml:space="preserve"> </w:t>
      </w:r>
      <w:r>
        <w:rPr>
          <w:bCs/>
          <w:b/>
        </w:rPr>
        <w:t xml:space="preserve">France Lyon</w:t>
      </w:r>
      <w:r>
        <w:t xml:space="preserve">, Dr. Rossi represents the archetype of modern scholarly inquiry: interdisciplinary, technology-driven, and globally connected yet locally rooted.</w:t>
      </w:r>
    </w:p>
    <w:bookmarkStart w:id="23" w:name="professional-responsibilities"/>
    <w:p>
      <w:pPr>
        <w:pStyle w:val="Heading3"/>
      </w:pPr>
      <w:r>
        <w:t xml:space="preserve">3.1 Professional Responsibilities</w:t>
      </w:r>
    </w:p>
    <w:p>
      <w:pPr>
        <w:pStyle w:val="FirstParagraph"/>
      </w:pPr>
      <w:r>
        <w:t xml:space="preserve">The role of an</w:t>
      </w:r>
      <w:r>
        <w:t xml:space="preserve"> </w:t>
      </w:r>
      <w:r>
        <w:rPr>
          <w:bCs/>
          <w:b/>
        </w:rPr>
        <w:t xml:space="preserve">Academic Researcher</w:t>
      </w:r>
      <w:r>
        <w:t xml:space="preserve"> </w:t>
      </w:r>
      <w:r>
        <w:t xml:space="preserve">in this context is multifaceted. It extends beyond traditional teaching duties to include:</w:t>
      </w:r>
    </w:p>
    <w:p>
      <w:pPr>
        <w:numPr>
          <w:ilvl w:val="0"/>
          <w:numId w:val="1001"/>
        </w:numPr>
        <w:pStyle w:val="Compact"/>
      </w:pPr>
      <w:r>
        <w:rPr>
          <w:bCs/>
          <w:b/>
        </w:rPr>
        <w:t xml:space="preserve">Publishing High-Impact Work:</w:t>
      </w:r>
    </w:p>
    <w:p>
      <w:pPr>
        <w:numPr>
          <w:ilvl w:val="0"/>
          <w:numId w:val="1001"/>
        </w:numPr>
        <w:pStyle w:val="Compact"/>
      </w:pPr>
      <w:r>
        <w:rPr>
          <w:bCs/>
          <w:b/>
        </w:rPr>
        <w:t xml:space="preserve">Grant Acquisition:</w:t>
      </w:r>
    </w:p>
    <w:p>
      <w:pPr>
        <w:numPr>
          <w:ilvl w:val="0"/>
          <w:numId w:val="1001"/>
        </w:numPr>
        <w:pStyle w:val="Compact"/>
      </w:pPr>
      <w:r>
        <w:rPr>
          <w:bCs/>
          <w:b/>
        </w:rPr>
        <w:t xml:space="preserve">Mentorship:</w:t>
      </w:r>
      <w:r>
        <w:t xml:space="preserve">France Lyon.</w:t>
      </w:r>
    </w:p>
    <w:p>
      <w:pPr>
        <w:numPr>
          <w:ilvl w:val="0"/>
          <w:numId w:val="1001"/>
        </w:numPr>
        <w:pStyle w:val="Compact"/>
      </w:pPr>
      <w:r>
        <w:rPr>
          <w:bCs/>
          <w:b/>
        </w:rPr>
        <w:t xml:space="preserve">Societal Engagement:</w:t>
      </w:r>
    </w:p>
    <w:bookmarkEnd w:id="23"/>
    <w:bookmarkStart w:id="24" w:name="linguistic-and-cultural-adaptation"/>
    <w:p>
      <w:pPr>
        <w:pStyle w:val="Heading3"/>
      </w:pPr>
      <w:r>
        <w:t xml:space="preserve">3.2 Linguistic and Cultural Adaptation</w:t>
      </w:r>
    </w:p>
    <w:p>
      <w:pPr>
        <w:pStyle w:val="FirstParagraph"/>
      </w:pPr>
      <w:r>
        <w:t xml:space="preserve">A critical aspect of being an</w:t>
      </w:r>
      <w:r>
        <w:t xml:space="preserve"> </w:t>
      </w:r>
      <w:r>
        <w:rPr>
          <w:bCs/>
          <w:b/>
        </w:rPr>
        <w:t xml:space="preserve">Academic Researcher</w:t>
      </w:r>
      <w:r>
        <w:t xml:space="preserve"> </w:t>
      </w:r>
      <w:r>
        <w:t xml:space="preserve">in</w:t>
      </w:r>
      <w:r>
        <w:t xml:space="preserve"> </w:t>
      </w:r>
      <w:r>
        <w:rPr>
          <w:bCs/>
          <w:b/>
        </w:rPr>
        <w:t xml:space="preserve">France Lyon</w:t>
      </w:r>
      <w:r>
        <w:t xml:space="preserve">, particularly for international scholars, is linguistic competence. While English is the lingua franca of scientific publication, administrative tasks, teaching undergraduate courses (especially in humanities), and networking require proficiency in French. The case study highlights Dr. Rossi’s journey of integrating into the local community, emphasizing that success in</w:t>
      </w:r>
      <w:r>
        <w:t xml:space="preserve"> </w:t>
      </w:r>
      <w:r>
        <w:rPr>
          <w:bCs/>
          <w:b/>
        </w:rPr>
        <w:t xml:space="preserve">France Lyon</w:t>
      </w:r>
      <w:r>
        <w:t xml:space="preserve"> </w:t>
      </w:r>
      <w:r>
        <w:t xml:space="preserve">depends not only on intellectual prowess but also on cultural assimilation and respect for local academic traditions.</w:t>
      </w:r>
    </w:p>
    <w:bookmarkEnd w:id="24"/>
    <w:bookmarkEnd w:id="25"/>
    <w:bookmarkStart w:id="29" w:name="Xdb0b1a7c546db3e58735320422fbf9462ab78ec"/>
    <w:p>
      <w:pPr>
        <w:pStyle w:val="Heading2"/>
      </w:pPr>
      <w:r>
        <w:t xml:space="preserve">4. Challenges Faced by the Academic Researcher</w:t>
      </w:r>
    </w:p>
    <w:p>
      <w:pPr>
        <w:pStyle w:val="FirstParagraph"/>
      </w:pPr>
      <w:r>
        <w:t xml:space="preserve">The path of an</w:t>
      </w:r>
      <w:r>
        <w:t xml:space="preserve"> </w:t>
      </w:r>
      <w:r>
        <w:rPr>
          <w:bCs/>
          <w:b/>
        </w:rPr>
        <w:t xml:space="preserve">Academic Researcher</w:t>
      </w:r>
      <w:r>
        <w:t xml:space="preserve"> </w:t>
      </w:r>
      <w:r>
        <w:t xml:space="preserve">is fraught with challenges, many of which are exacerbated by the specific administrative and structural realities of</w:t>
      </w:r>
      <w:r>
        <w:t xml:space="preserve"> </w:t>
      </w:r>
      <w:r>
        <w:rPr>
          <w:bCs/>
          <w:b/>
        </w:rPr>
        <w:t xml:space="preserve">France Lyon</w:t>
      </w:r>
      <w:r>
        <w:t xml:space="preserve">.</w:t>
      </w:r>
    </w:p>
    <w:bookmarkStart w:id="26" w:name="bureaucratic-complexity"/>
    <w:p>
      <w:pPr>
        <w:pStyle w:val="Heading4"/>
      </w:pPr>
      <w:r>
        <w:rPr>
          <w:iCs/>
          <w:i/>
        </w:rPr>
        <w:t xml:space="preserve">Bureaucratic Complexity</w:t>
      </w:r>
    </w:p>
    <w:p>
      <w:pPr>
        <w:pStyle w:val="FirstParagraph"/>
      </w:pPr>
      <w:r>
        <w:t xml:space="preserve">Navigating the French research administration can be daunting. The dual affiliation often required between universities and national research centers (like CNRS or INSERM) creates complex reporting lines. An</w:t>
      </w:r>
      <w:r>
        <w:t xml:space="preserve"> </w:t>
      </w:r>
      <w:r>
        <w:rPr>
          <w:bCs/>
          <w:b/>
        </w:rPr>
        <w:t xml:space="preserve">Academic Researcher</w:t>
      </w:r>
      <w:r>
        <w:t xml:space="preserve"> </w:t>
      </w:r>
      <w:r>
        <w:t xml:space="preserve">must spend significant time managing compliance, ethical approvals, and financial reporting, which can detract from pure scientific inquiry.</w:t>
      </w:r>
    </w:p>
    <w:bookmarkEnd w:id="26"/>
    <w:bookmarkStart w:id="27" w:name="financial-instability-and-competition"/>
    <w:p>
      <w:pPr>
        <w:pStyle w:val="Heading4"/>
      </w:pPr>
      <w:r>
        <w:rPr>
          <w:iCs/>
          <w:i/>
        </w:rPr>
        <w:t xml:space="preserve">Financial Instability and Competition</w:t>
      </w:r>
    </w:p>
    <w:p>
      <w:pPr>
        <w:pStyle w:val="FirstParagraph"/>
      </w:pPr>
      <w:r>
        <w:t xml:space="preserve">Funding for research in</w:t>
      </w:r>
      <w:r>
        <w:t xml:space="preserve"> </w:t>
      </w:r>
      <w:r>
        <w:rPr>
          <w:bCs/>
          <w:b/>
        </w:rPr>
        <w:t xml:space="preserve">France Lyon</w:t>
      </w:r>
      <w:r>
        <w:t xml:space="preserve">, while robust compared to other regions, is highly competitive. The pressure to secure external grants is immense. The case study illustrates the stress associated with grant cycles, where failure to secure funding can jeopardize laboratory operations and staff employment.</w:t>
      </w:r>
    </w:p>
    <w:bookmarkEnd w:id="27"/>
    <w:bookmarkStart w:id="28" w:name="balancing-teaching-and-research"/>
    <w:p>
      <w:pPr>
        <w:pStyle w:val="Heading4"/>
      </w:pPr>
      <w:r>
        <w:rPr>
          <w:iCs/>
          <w:i/>
        </w:rPr>
        <w:t xml:space="preserve">Balancing Teaching and Research</w:t>
      </w:r>
    </w:p>
    <w:p>
      <w:pPr>
        <w:pStyle w:val="FirstParagraph"/>
      </w:pPr>
      <w:r>
        <w:t xml:space="preserve">In the French system, there is an expectation for</w:t>
      </w:r>
      <w:r>
        <w:t xml:space="preserve"> </w:t>
      </w:r>
      <w:r>
        <w:rPr>
          <w:bCs/>
          <w:b/>
        </w:rPr>
        <w:t xml:space="preserve">Academic Researchers</w:t>
      </w:r>
      <w:r>
        <w:t xml:space="preserve"> </w:t>
      </w:r>
      <w:r>
        <w:t xml:space="preserve">to maintain a balanced workload between teaching (reception d'étudiants) and research. However, in practice, the pressure to publish often leads to an imbalance. Dr. Rossi’s experience highlights the difficulty of maintaining high-quality student supervision while striving for research excellence in the fast-paced environment of</w:t>
      </w:r>
      <w:r>
        <w:t xml:space="preserve"> </w:t>
      </w:r>
      <w:r>
        <w:rPr>
          <w:bCs/>
          <w:b/>
        </w:rPr>
        <w:t xml:space="preserve">France Lyon</w:t>
      </w:r>
      <w:r>
        <w:t xml:space="preserve">.</w:t>
      </w:r>
    </w:p>
    <w:bookmarkEnd w:id="28"/>
    <w:bookmarkEnd w:id="29"/>
    <w:bookmarkStart w:id="30" w:name="X6a193fd23f7bc6c8bd37aebf57d4a55e1eae91f"/>
    <w:p>
      <w:pPr>
        <w:pStyle w:val="Heading2"/>
      </w:pPr>
      <w:r>
        <w:t xml:space="preserve">Strategic Insight: The Importance of Networks</w:t>
      </w:r>
    </w:p>
    <w:p>
      <w:pPr>
        <w:pStyle w:val="FirstParagraph"/>
      </w:pPr>
      <w:r>
        <w:t xml:space="preserve">Successful</w:t>
      </w:r>
      <w:r>
        <w:t xml:space="preserve"> </w:t>
      </w:r>
      <w:r>
        <w:rPr>
          <w:bCs/>
          <w:b/>
        </w:rPr>
        <w:t xml:space="preserve">Academic Researchers</w:t>
      </w:r>
      <w:r>
        <w:t xml:space="preserve"> </w:t>
      </w:r>
      <w:r>
        <w:t xml:space="preserve">in</w:t>
      </w:r>
      <w:r>
        <w:t xml:space="preserve"> </w:t>
      </w:r>
      <w:r>
        <w:rPr>
          <w:bCs/>
          <w:b/>
        </w:rPr>
        <w:t xml:space="preserve">France Lyon</w:t>
      </w:r>
      <w:r>
        <w:rPr>
          <w:iCs/>
          <w:i/>
        </w:rPr>
        <w:t xml:space="preserve">t typically leverage local networks. Participation in regional clusters (pôles de compétitivité) such as BioM Valley provides access to resources, talent, and funding opportunities that are otherwise inaccessible.</w:t>
      </w:r>
    </w:p>
    <w:bookmarkEnd w:id="30"/>
    <w:bookmarkStart w:id="31" w:name="opportunities-and-strategic-advantages"/>
    <w:p>
      <w:pPr>
        <w:pStyle w:val="Heading2"/>
      </w:pPr>
      <w:r>
        <w:t xml:space="preserve">5. Opportunities and Strategic Advantages</w:t>
      </w:r>
    </w:p>
    <w:p>
      <w:pPr>
        <w:pStyle w:val="FirstParagraph"/>
      </w:pPr>
      <w:r>
        <w:t xml:space="preserve">Despite the challenges, the position of an</w:t>
      </w:r>
      <w:r>
        <w:t xml:space="preserve"> </w:t>
      </w:r>
      <w:r>
        <w:rPr>
          <w:bCs/>
          <w:b/>
        </w:rPr>
        <w:t xml:space="preserve">Academic Researcher</w:t>
      </w:r>
      <w:r>
        <w:t xml:space="preserve"> </w:t>
      </w:r>
      <w:r>
        <w:t xml:space="preserve">in</w:t>
      </w:r>
      <w:r>
        <w:t xml:space="preserve"> </w:t>
      </w:r>
      <w:r>
        <w:rPr>
          <w:bCs/>
          <w:b/>
        </w:rPr>
        <w:t xml:space="preserve">France Lyon</w:t>
      </w:r>
      <w:r>
        <w:rPr>
          <w:iCs/>
          <w:i/>
        </w:rPr>
        <w:t xml:space="preserve">t offers unique advantages:</w:t>
      </w:r>
    </w:p>
    <w:p>
      <w:pPr>
        <w:numPr>
          <w:ilvl w:val="0"/>
          <w:numId w:val="1002"/>
        </w:numPr>
        <w:pStyle w:val="Compact"/>
      </w:pPr>
      <w:r>
        <w:rPr>
          <w:bCs/>
          <w:b/>
        </w:rPr>
        <w:t xml:space="preserve">Social Quality of Life:</w:t>
      </w:r>
    </w:p>
    <w:p>
      <w:pPr>
        <w:numPr>
          <w:ilvl w:val="0"/>
          <w:numId w:val="1002"/>
        </w:numPr>
        <w:pStyle w:val="Compact"/>
      </w:pPr>
      <w:r>
        <w:rPr>
          <w:bCs/>
          <w:b/>
        </w:rPr>
        <w:t xml:space="preserve">Interdisciplinary Hubs:</w:t>
      </w:r>
      <w:r>
        <w:t xml:space="preserve">Academic Researcher, this enables innovative approaches to complex problems.</w:t>
      </w:r>
    </w:p>
    <w:p>
      <w:pPr>
        <w:numPr>
          <w:ilvl w:val="0"/>
          <w:numId w:val="1002"/>
        </w:numPr>
        <w:pStyle w:val="Compact"/>
      </w:pPr>
      <w:r>
        <w:t xml:space="preserve">International Connectivity:</w:t>
      </w:r>
    </w:p>
    <w:p>
      <w:pPr>
        <w:numPr>
          <w:ilvl w:val="0"/>
          <w:numId w:val="1000"/>
        </w:numPr>
        <w:pStyle w:val="Compact"/>
      </w:pPr>
      <w:r>
        <w:t xml:space="preserve">As a major transport hub in Europe, Lyon provides excellent connectivity for conferences and collaborations globally. This accessibility enhances the visibility of research conducted by local academics.</w:t>
      </w:r>
    </w:p>
    <w:bookmarkEnd w:id="31"/>
    <w:bookmarkStart w:id="32" w:name="X3410a102e8180744c261206b2281c2d946ff5c3"/>
    <w:p>
      <w:pPr>
        <w:pStyle w:val="Heading2"/>
      </w:pPr>
      <w:r>
        <w:t xml:space="preserve">6. Recommendations for Future Academic Researchers</w:t>
      </w:r>
    </w:p>
    <w:p>
      <w:pPr>
        <w:pStyle w:val="FirstParagraph"/>
      </w:pPr>
      <w:r>
        <w:t xml:space="preserve">To thrive as an</w:t>
      </w:r>
      <w:r>
        <w:t xml:space="preserve"> </w:t>
      </w:r>
      <w:r>
        <w:rPr>
          <w:bCs/>
          <w:b/>
        </w:rPr>
        <w:t xml:space="preserve">Academic Researcher</w:t>
      </w:r>
      <w:r>
        <w:t xml:space="preserve"> </w:t>
      </w:r>
      <w:r>
        <w:t xml:space="preserve">in</w:t>
      </w:r>
      <w:r>
        <w:t xml:space="preserve"> </w:t>
      </w:r>
      <w:r>
        <w:rPr>
          <w:bCs/>
          <w:b/>
        </w:rPr>
        <w:t xml:space="preserve">France Lyon</w:t>
      </w:r>
      <w:r>
        <w:t xml:space="preserve">, it is recommended that incoming scholars adopt the following strategies:</w:t>
      </w:r>
    </w:p>
    <w:p>
      <w:pPr>
        <w:numPr>
          <w:ilvl w:val="0"/>
          <w:numId w:val="1003"/>
        </w:numPr>
        <w:pStyle w:val="Compact"/>
      </w:pPr>
      <w:r>
        <w:t xml:space="preserve">Prioritize Language Learning:</w:t>
      </w:r>
    </w:p>
    <w:p>
      <w:pPr>
        <w:numPr>
          <w:ilvl w:val="0"/>
          <w:numId w:val="1000"/>
        </w:numPr>
        <w:pStyle w:val="Compact"/>
      </w:pPr>
      <w:r>
        <w:t xml:space="preserve">Invest time in learning French to facilitate administrative navigation and deeper community integration.</w:t>
      </w:r>
    </w:p>
    <w:p>
      <w:pPr>
        <w:numPr>
          <w:ilvl w:val="0"/>
          <w:numId w:val="1003"/>
        </w:numPr>
        <w:pStyle w:val="Compact"/>
      </w:pPr>
      <w:r>
        <w:rPr>
          <w:bCs/>
          <w:b/>
        </w:rPr>
        <w:t xml:space="preserve">Build Local Partnerships Early:</w:t>
      </w:r>
    </w:p>
    <w:p>
      <w:pPr>
        <w:numPr>
          <w:ilvl w:val="0"/>
          <w:numId w:val="1003"/>
        </w:numPr>
        <w:pStyle w:val="Compact"/>
      </w:pPr>
      <w:r>
        <w:t xml:space="preserve">Navigate Administrative Systems Proactively:</w:t>
      </w:r>
    </w:p>
    <w:p>
      <w:pPr>
        <w:numPr>
          <w:ilvl w:val="0"/>
          <w:numId w:val="1000"/>
        </w:numPr>
        <w:pStyle w:val="Compact"/>
      </w:pPr>
      <w:r>
        <w:t xml:space="preserve">Seek mentorship from senior colleagues who understand the nuances of French academic bureaucracy. Avoid common pitfalls in compliance and reporting.</w:t>
      </w:r>
    </w:p>
    <w:p>
      <w:pPr>
        <w:numPr>
          <w:ilvl w:val="0"/>
          <w:numId w:val="1003"/>
        </w:numPr>
        <w:pStyle w:val="Compact"/>
      </w:pPr>
      <w:r>
        <w:rPr>
          <w:bCs/>
          <w:b/>
        </w:rPr>
        <w:t xml:space="preserve">Leverage Regional Strengths:</w:t>
      </w:r>
    </w:p>
    <w:bookmarkEnd w:id="32"/>
    <w:bookmarkStart w:id="33" w:name="conclusion"/>
    <w:p>
      <w:pPr>
        <w:pStyle w:val="Heading2"/>
      </w:pPr>
      <w:r>
        <w:t xml:space="preserve">7. Conclusion</w:t>
      </w:r>
    </w:p>
    <w:p>
      <w:pPr>
        <w:pStyle w:val="FirstParagraph"/>
      </w:pPr>
      <w:r>
        <w:t xml:space="preserve">This case study demonstrates that the role of an</w:t>
      </w:r>
      <w:r>
        <w:t xml:space="preserve"> </w:t>
      </w:r>
      <w:r>
        <w:rPr>
          <w:bCs/>
          <w:b/>
        </w:rPr>
        <w:t xml:space="preserve">Academic Researcher</w:t>
      </w:r>
    </w:p>
    <w:p>
      <w:pPr>
        <w:pStyle w:val="BodyText"/>
      </w:pPr>
      <w:r>
        <w:t xml:space="preserve">t in</w:t>
      </w:r>
    </w:p>
    <w:p>
      <w:pPr>
        <w:pStyle w:val="BodyText"/>
      </w:pPr>
      <w:r>
        <w:t xml:space="preserve">France Lyon is both demanding and rewarding. The region offers a vibrant intellectual community, world-class infrastructure, and a high quality of life, but it also requires resilience, adaptability, and cultural sensitivity. By understanding the specific dynamics of</w:t>
      </w:r>
    </w:p>
    <w:p>
      <w:pPr>
        <w:pStyle w:val="BodyText"/>
      </w:pPr>
      <w:r>
        <w:t xml:space="preserve">France Lyon</w:t>
      </w:r>
    </w:p>
    <w:p>
      <w:pPr>
        <w:pStyle w:val="BodyText"/>
      </w:pPr>
      <w:r>
        <w:t xml:space="preserve">, institutions can better support their researchers. Furthermore, prospective academics can make informed decisions about their career paths by recognizing the unique opportunities available in this historic yet modern French city.</w:t>
      </w:r>
    </w:p>
    <w:p>
      <w:pPr>
        <w:pStyle w:val="BodyText"/>
      </w:pPr>
      <w:r>
        <w:t xml:space="preserve">The success of an</w:t>
      </w:r>
      <w:r>
        <w:t xml:space="preserve"> </w:t>
      </w:r>
      <w:r>
        <w:rPr>
          <w:bCs/>
          <w:b/>
        </w:rPr>
        <w:t xml:space="preserve">Academic Researcher</w:t>
      </w:r>
    </w:p>
    <w:p>
      <w:pPr>
        <w:pStyle w:val="BodyText"/>
      </w:pPr>
      <w:r>
        <w:t xml:space="preserve">t ultimately depends on the synergy between individual ambition and institutional support within the</w:t>
      </w:r>
    </w:p>
    <w:p>
      <w:pPr>
        <w:pStyle w:val="BodyText"/>
      </w:pPr>
      <w:r>
        <w:t xml:space="preserve">France Lyon</w:t>
      </w:r>
    </w:p>
    <w:p>
      <w:pPr>
        <w:pStyle w:val="BodyText"/>
      </w:pPr>
      <w:r>
        <w:t xml:space="preserve">ecosystem. As global challenges become increasingly complex, the contribution of researchers in this region to scientific advancement remains vital.</w:t>
      </w:r>
    </w:p>
    <w:p>
      <w:r>
        <w:pict>
          <v:rect style="width:0;height:1.5pt" o:hralign="center" o:hrstd="t" o:hr="t"/>
        </w:pict>
      </w:r>
    </w:p>
    <w:p>
      <w:pPr>
        <w:pStyle w:val="FirstParagraph"/>
      </w:pPr>
      <w:r>
        <w:rPr>
          <w:iCs/>
          <w:i/>
        </w:rPr>
        <w:t xml:space="preserve">Document prepared for internal review and strategic planning purposes. All names and specific institutional affiliations have been generalized to protect confidentiality while maintaining the integrity of the case study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France Lyon</dc:title>
  <dc:creator/>
  <cp:keywords/>
  <dcterms:created xsi:type="dcterms:W3CDTF">2026-07-29T07:40:28Z</dcterms:created>
  <dcterms:modified xsi:type="dcterms:W3CDTF">2026-07-29T07:40:28Z</dcterms:modified>
</cp:coreProperties>
</file>

<file path=docProps/custom.xml><?xml version="1.0" encoding="utf-8"?>
<Properties xmlns="http://schemas.openxmlformats.org/officeDocument/2006/custom-properties" xmlns:vt="http://schemas.openxmlformats.org/officeDocument/2006/docPropsVTypes"/>
</file>