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20" w:name="X467e2a56d830a9b61fe9ddbb4c4485b98957c2c"/>
    <w:p>
      <w:pPr>
        <w:pStyle w:val="Heading1"/>
      </w:pPr>
      <w:r>
        <w:t xml:space="preserve">Digital Transformation in Higher Education:</w:t>
      </w:r>
      <w:r>
        <w:br/>
      </w:r>
      <w:r>
        <w:t xml:space="preserve">A Case Study of an Academic Researcher in France Marseille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Purpose:</w:t>
      </w:r>
    </w:p>
    <w:bookmarkEnd w:id="20"/>
    <w:bookmarkStart w:id="21" w:name="executive-summary"/>
    <w:p>
      <w:pPr>
        <w:pStyle w:val="Heading2"/>
      </w:pPr>
      <w:r>
        <w:t xml:space="preserve">Executive Summary</w:t>
      </w:r>
    </w:p>
    <w:p>
      <w:pPr>
        <w:pStyle w:val="FirstParagraph"/>
      </w:pPr>
      <w:r>
        <w:t xml:space="preserve">In the contemporary landscape of scientific inquiry, the role of an Academic Researcher has evolved from a solitary scholar into a hub node within a complex global network. This document serves as a comprehensive Case Study focusing on the specific operational challenges and strategic opportunities faced by an Academic Researcher situated in France Marseille. The city, with its unique position as a Mediterranean gateway and its robust history in scientific innovation, provides distinct contextual factors that influence research methodologies, collaboration patterns, and administrative requirements. This study analyzes how digital tools can enhance productivity while maintaining academic integrity within the specific cultural and institutional framework of Marseille.</w:t>
      </w:r>
    </w:p>
    <w:bookmarkEnd w:id="21"/>
    <w:bookmarkStart w:id="23" w:name="context-profile"/>
    <w:bookmarkStart w:id="22" w:name="Xb67d1124e447bd46837b1e15783a6d6f3a36eb3"/>
    <w:p>
      <w:pPr>
        <w:pStyle w:val="Heading2"/>
      </w:pPr>
      <w:r>
        <w:t xml:space="preserve">The Profile: Academic Researcher in France Marseille</w:t>
      </w:r>
    </w:p>
    <w:p>
      <w:pPr>
        <w:pStyle w:val="FirstParagraph"/>
      </w:pPr>
      <w:r>
        <w:t xml:space="preserve">To understand the nuances of this Case Study, one must first define the persona. The subject is a mid-career researcher affiliated with a prominent institution in France Marseille, such as Aix-Marseille University or associated CNRS laboratories. This individual specializes in interdisciplinary fields—potentially marine biology, urban sociology, or maritime logistics—areas where Marseille’s geographical and historical context adds significant value to academic output.</w:t>
      </w:r>
    </w:p>
    <w:p>
      <w:pPr>
        <w:pStyle w:val="BodyText"/>
      </w:pPr>
      <w:r>
        <w:t xml:space="preserve">The Academic Researcher is not merely a data collector but a curator of knowledge who must navigate the intricate bureaucracy of French academia. They are responsible for publishing in high-impact journals, securing European Union grants (such as Horizon Europe), mentoring PhD students, and managing public engagement activities. The location in France Marseille introduces specific variables: the city’s vibrant port infrastructure offers unique field study opportunities but also presents logistical challenges regarding data collection from maritime sources.</w:t>
      </w:r>
    </w:p>
    <w:bookmarkEnd w:id="22"/>
    <w:bookmarkEnd w:id="23"/>
    <w:bookmarkStart w:id="25" w:name="challenges"/>
    <w:bookmarkStart w:id="24" w:name="identified-challenges"/>
    <w:p>
      <w:pPr>
        <w:pStyle w:val="Heading2"/>
      </w:pPr>
      <w:r>
        <w:t xml:space="preserve">Identified Challenges</w:t>
      </w:r>
    </w:p>
    <w:p>
      <w:pPr>
        <w:pStyle w:val="FirstParagraph"/>
      </w:pPr>
      <w:r>
        <w:t xml:space="preserve">The transition to digital-first research workflows has presented several critical hurdles for the Academic Researcher in France Marseille:</w:t>
      </w:r>
    </w:p>
    <w:p>
      <w:pPr>
        <w:numPr>
          <w:ilvl w:val="0"/>
          <w:numId w:val="1001"/>
        </w:numPr>
        <w:pStyle w:val="Compact"/>
      </w:pPr>
      <w:r>
        <w:rPr>
          <w:bCs/>
          <w:b/>
        </w:rPr>
        <w:t xml:space="preserve">Data Sovereignty and GDPR Compliance:</w:t>
      </w:r>
      <w:r>
        <w:t xml:space="preserve"> </w:t>
      </w:r>
      <w:r>
        <w:t xml:space="preserve">As a researcher operating within the European Union, specifically in France, strict adherence to General Data Protection Regulation (GDPR) is paramount. When collaborating with international partners outside of Europe, ensuring that sensitive data remains compliant while being shared efficiently is a primary concern.</w:t>
      </w:r>
    </w:p>
    <w:p>
      <w:pPr>
        <w:numPr>
          <w:ilvl w:val="0"/>
          <w:numId w:val="1001"/>
        </w:numPr>
        <w:pStyle w:val="Compact"/>
      </w:pPr>
      <w:r>
        <w:rPr>
          <w:bCs/>
          <w:b/>
        </w:rPr>
        <w:t xml:space="preserve">Inter-Institutional Collaboration:</w:t>
      </w:r>
      <w:r>
        <w:t xml:space="preserve"> </w:t>
      </w:r>
      <w:r>
        <w:t xml:space="preserve">Marseille hosts a dense cluster of research entities. The Academic Researcher often finds themselves bridging gaps between university departments, private sector partners in the port industry, and other French national laboratories. Siloed communication channels hinder rapid knowledge exchange.</w:t>
      </w:r>
    </w:p>
    <w:p>
      <w:pPr>
        <w:numPr>
          <w:ilvl w:val="0"/>
          <w:numId w:val="1001"/>
        </w:numPr>
        <w:pStyle w:val="Compact"/>
      </w:pPr>
      <w:r>
        <w:rPr>
          <w:bCs/>
          <w:b/>
        </w:rPr>
        <w:t xml:space="preserve">Digital Literacy Gaps:</w:t>
      </w:r>
      <w:r>
        <w:t xml:space="preserve"> </w:t>
      </w:r>
      <w:r>
        <w:t xml:space="preserve">While expertise in their specific scientific domain is high, proficiency in advanced digital project management tools and data visualization software can vary among team members. This disparity slows down collective productivity.</w:t>
      </w:r>
    </w:p>
    <w:p>
      <w:pPr>
        <w:numPr>
          <w:ilvl w:val="0"/>
          <w:numId w:val="1001"/>
        </w:numPr>
        <w:pStyle w:val="Compact"/>
      </w:pPr>
      <w:r>
        <w:t xml:space="preserve">Funding Pressure:</w:t>
      </w:r>
    </w:p>
    <w:bookmarkEnd w:id="24"/>
    <w:bookmarkEnd w:id="25"/>
    <w:bookmarkStart w:id="27" w:name="methodology"/>
    <w:bookmarkStart w:id="26" w:name="X570f017dbc8b1baa33a35c7cb5ea087c9571aeb"/>
    <w:p>
      <w:pPr>
        <w:pStyle w:val="Heading2"/>
      </w:pPr>
      <w:r>
        <w:t xml:space="preserve">Proposed Methodology and Digital Solutions</w:t>
      </w:r>
    </w:p>
    <w:p>
      <w:pPr>
        <w:pStyle w:val="FirstParagraph"/>
      </w:pPr>
      <w:r>
        <w:t xml:space="preserve">To address these challenges, a structured digital transformation strategy is proposed for the Academic Researcher in France Marseille. This approach integrates technology with best practices in academic management.</w:t>
      </w:r>
    </w:p>
    <w:p>
      <w:pPr>
        <w:pStyle w:val="BodyText"/>
      </w:pPr>
      <w:r>
        <w:rPr>
          <w:bCs/>
          <w:b/>
        </w:rPr>
        <w:t xml:space="preserve">Core Pillar 1: Centralized Knowledge Management</w:t>
      </w:r>
      <w:r>
        <w:br/>
      </w:r>
      <w:r>
        <w:t xml:space="preserve">Implementation of a cloud-based reference management system that supports collaborative annotation. This ensures that all team members, regardless of whether they are working from their office in the Marseille campus or conducting fieldwork on the boats, access the same updated literature database.</w:t>
      </w:r>
    </w:p>
    <w:p>
      <w:pPr>
        <w:pStyle w:val="BodyText"/>
      </w:pPr>
      <w:r>
        <w:rPr>
          <w:bCs/>
          <w:b/>
        </w:rPr>
        <w:t xml:space="preserve">Pillar 2: Secure Data Handling Protocols</w:t>
      </w:r>
      <w:r>
        <w:br/>
      </w:r>
      <w:r>
        <w:t xml:space="preserve">Adopting encrypted storage solutions that are hosted within EU data centers to guarantee compliance with French and European laws. This is critical for maintaining trust with international partners and ensuring that the Academic Researcher’s grants are not jeopardized by regulatory breaches.</w:t>
      </w:r>
    </w:p>
    <w:p>
      <w:pPr>
        <w:pStyle w:val="BodyText"/>
      </w:pPr>
      <w:r>
        <w:rPr>
          <w:bCs/>
          <w:b/>
        </w:rPr>
        <w:t xml:space="preserve">Pillar 3: Agile Project Management</w:t>
      </w:r>
      <w:r>
        <w:br/>
      </w:r>
      <w:r>
        <w:t xml:space="preserve">Shifting from traditional Gantt charts to agile boards (such as Trello or Jira) customized for academic workflows. This allows the researcher to track grant applications, paper submissions, and conference deadlines in a unified view, reducing administrative overhead.</w:t>
      </w:r>
    </w:p>
    <w:bookmarkEnd w:id="26"/>
    <w:bookmarkEnd w:id="27"/>
    <w:bookmarkStart w:id="28" w:name="implementation-strategy"/>
    <w:p>
      <w:pPr>
        <w:pStyle w:val="Heading2"/>
      </w:pPr>
      <w:r>
        <w:t xml:space="preserve">Implementation Strategy</w:t>
      </w:r>
    </w:p>
    <w:p>
      <w:pPr>
        <w:pStyle w:val="FirstParagraph"/>
      </w:pPr>
      <w:r>
        <w:t xml:space="preserve">The implementation of these digital tools must be phased to ensure adoption by the Academic Researcher and their team.</w:t>
      </w:r>
    </w:p>
    <w:p>
      <w:pPr>
        <w:numPr>
          <w:ilvl w:val="0"/>
          <w:numId w:val="1002"/>
        </w:numPr>
        <w:pStyle w:val="Compact"/>
      </w:pPr>
      <w:r>
        <w:rPr>
          <w:bCs/>
          <w:b/>
        </w:rPr>
        <w:t xml:space="preserve">Audit Phase:</w:t>
      </w:r>
      <w:r>
        <w:t xml:space="preserve"> </w:t>
      </w:r>
      <w:r>
        <w:t xml:space="preserve">Assess current data flows and identify bottlenecks in communication between colleagues in France Marseille. Determine which legacy systems are no longer serving the researcher’s needs.</w:t>
      </w:r>
    </w:p>
    <w:p>
      <w:pPr>
        <w:numPr>
          <w:ilvl w:val="0"/>
          <w:numId w:val="1002"/>
        </w:numPr>
        <w:pStyle w:val="Compact"/>
      </w:pPr>
      <w:r>
        <w:rPr>
          <w:bCs/>
          <w:b/>
        </w:rPr>
        <w:t xml:space="preserve">Pilot Phase:</w:t>
      </w:r>
      <w:r>
        <w:t xml:space="preserve"> </w:t>
      </w:r>
      <w:r>
        <w:t xml:space="preserve">Introduce the chosen digital toolkit with a small sub-team, perhaps those involved in a specific Horizon Europe project. Gather feedback on usability and compliance issues.</w:t>
      </w:r>
    </w:p>
    <w:p>
      <w:pPr>
        <w:numPr>
          <w:ilvl w:val="0"/>
          <w:numId w:val="1002"/>
        </w:numPr>
        <w:pStyle w:val="Compact"/>
      </w:pPr>
      <w:r>
        <w:rPr>
          <w:bCs/>
          <w:b/>
        </w:rPr>
        <w:t xml:space="preserve">Scaled Rollout:</w:t>
      </w:r>
      <w:r>
        <w:t xml:space="preserve"> </w:t>
      </w:r>
      <w:r>
        <w:t xml:space="preserve">Expand the system to include all PhD students and postdoctoral fellows. Conduct training workshops focused on both technical usage and data privacy ethics.</w:t>
      </w:r>
    </w:p>
    <w:p>
      <w:pPr>
        <w:numPr>
          <w:ilvl w:val="0"/>
          <w:numId w:val="1002"/>
        </w:numPr>
        <w:pStyle w:val="Compact"/>
      </w:pPr>
      <w:r>
        <w:rPr>
          <w:bCs/>
          <w:b/>
        </w:rPr>
        <w:t xml:space="preserve">Evaluation:</w:t>
      </w:r>
      <w:r>
        <w:t xml:space="preserve"> </w:t>
      </w:r>
      <w:r>
        <w:t xml:space="preserve">Measure success through key performance indicators (KPIs) such as reduction in administrative time, faster publication cycles, and improved grant approval rates.</w:t>
      </w:r>
    </w:p>
    <w:bookmarkEnd w:id="28"/>
    <w:bookmarkStart w:id="30" w:name="expected-outcomes"/>
    <w:bookmarkStart w:id="29" w:name="expected-outcomes-and-benefits"/>
    <w:p>
      <w:pPr>
        <w:pStyle w:val="Heading2"/>
      </w:pPr>
      <w:r>
        <w:t xml:space="preserve">Expected Outcomes and Benefits</w:t>
      </w:r>
    </w:p>
    <w:p>
      <w:pPr>
        <w:pStyle w:val="FirstParagraph"/>
      </w:pPr>
      <w:r>
        <w:t xml:space="preserve">The successful integration of these strategies will yield significant benefits for the Academic Researcher in France Marseille. Firstly, efficiency gains will free up approximately 15-20% of the researcher’s time, allowing for more focus on creative hypothesis generation and writing. Secondly, enhanced collaboration tools will foster stronger ties with international partners, positioning Marseille as a competitive hub in global science.</w:t>
      </w:r>
    </w:p>
    <w:p>
      <w:pPr>
        <w:pStyle w:val="BodyText"/>
      </w:pPr>
      <w:r>
        <w:t xml:space="preserve">Furthermore, robust data management practices will enhance the reputation of the Academic Researcher as a reliable partner for high-stakes government and private funding bodies. In the context of France Marseille’s strategic importance to Europe’s southern border and Mediterranean trade, this research capacity becomes not just an academic pursuit but a component of national strategic interest.</w:t>
      </w:r>
    </w:p>
    <w:bookmarkEnd w:id="29"/>
    <w:bookmarkEnd w:id="30"/>
    <w:bookmarkStart w:id="31" w:name="conclusion"/>
    <w:p>
      <w:pPr>
        <w:pStyle w:val="Heading2"/>
      </w:pPr>
      <w:r>
        <w:t xml:space="preserve">Conclusion</w:t>
      </w:r>
    </w:p>
    <w:p>
      <w:pPr>
        <w:pStyle w:val="FirstParagraph"/>
      </w:pPr>
      <w:r>
        <w:t xml:space="preserve">This Case Study illustrates that the modern Academic Researcher in France Marseille is at a critical juncture. The intersection of traditional academic rigor and digital innovation offers a pathway to greater impact. By addressing the specific challenges of data compliance, collaboration, and workflow efficiency, institutions can empower their researchers to thrive in a competitive global environment.</w:t>
      </w:r>
    </w:p>
    <w:p>
      <w:pPr>
        <w:pStyle w:val="BodyText"/>
      </w:pPr>
      <w:r>
        <w:t xml:space="preserve">The recommendations outlined here are not merely about adopting new software; they represent a cultural shift towards transparency, agility, and interconnectedness. For the Academic Researcher situated in the historic yet forward-looking city of Marseille, embracing these changes is essential for sustaining relevance and contributing meaningfully to the global body of knowledge.</w:t>
      </w:r>
    </w:p>
    <w:bookmarkEnd w:id="31"/>
    <w:p>
      <w:pPr>
        <w:pStyle w:val="BodyText"/>
      </w:pPr>
      <w:r>
        <w:t xml:space="preserve">© 2023 Academic Research Strategy Group. All rights reserved.</w:t>
      </w:r>
      <w:r>
        <w:br/>
      </w:r>
      <w:r>
        <w:t xml:space="preserve">This document is confidential and intended for internal strategic planning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France Marseille</dc:title>
  <dc:creator/>
  <dc:language>en</dc:language>
  <cp:keywords/>
  <dcterms:created xsi:type="dcterms:W3CDTF">2026-07-29T16:54:32Z</dcterms:created>
  <dcterms:modified xsi:type="dcterms:W3CDTF">2026-07-29T16:54:32Z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