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Paris</w:t>
      </w:r>
    </w:p>
    <w:bookmarkStart w:id="26" w:name="Xdda74bb8c98c0680ae3904b2344b5b4f1002880"/>
    <w:p>
      <w:pPr>
        <w:pStyle w:val="Heading1"/>
      </w:pPr>
      <w:r>
        <w:t xml:space="preserve">The Academic Researcher in France Paris: A Comprehensive Case Study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France, Paris</w:t>
      </w:r>
      <w:r>
        <w:br/>
      </w:r>
      <w:r>
        <w:rPr>
          <w:bCs/>
          <w:b/>
        </w:rPr>
        <w:t xml:space="preserve">Status:</w:t>
      </w:r>
    </w:p>
    <w:p>
      <w:pPr>
        <w:pStyle w:val="BodyText"/>
      </w:pPr>
      <w:r>
        <w:rPr>
          <w:iCs/>
          <w:i/>
        </w:rPr>
        <w:t xml:space="preserve">This case study analyzes the professional landscape, cultural integration, and operational challenges faced by an Academic Researcher establishing their career in France Paris. It explores the unique intersection of high-level scientific inquiry within the historic and bureaucratic heart of French academia.</w:t>
      </w:r>
    </w:p>
    <w:bookmarkStart w:id="20" w:name="introduction"/>
    <w:p>
      <w:pPr>
        <w:pStyle w:val="Heading2"/>
      </w:pPr>
      <w:r>
        <w:t xml:space="preserve">1. Introduction</w:t>
      </w:r>
    </w:p>
    <w:p>
      <w:pPr>
        <w:pStyle w:val="FirstParagraph"/>
      </w:pPr>
      <w:r>
        <w:t xml:space="preserve">The role of an</w:t>
      </w:r>
    </w:p>
    <w:p>
      <w:pPr>
        <w:pStyle w:val="BodyText"/>
      </w:pPr>
      <w:r>
        <w:t xml:space="preserve">The primary focus is on how an Academic Researcher navigates the complex ecosystem located in France Paris, a global hub for science and humanities alike. This document outlines the specific dynamics of working within this environment, highlighting both opportunities and obstacles.</w:t>
      </w:r>
    </w:p>
    <w:bookmarkEnd w:id="20"/>
    <w:bookmarkStart w:id="21" w:name="X360e79fe3f1d7197ca375d54f97667d673900c7"/>
    <w:p>
      <w:pPr>
        <w:pStyle w:val="Heading2"/>
      </w:pPr>
      <w:r>
        <w:t xml:space="preserve">2. Professional Profile: The Academic Researcher</w:t>
      </w:r>
    </w:p>
    <w:p>
      <w:pPr>
        <w:pStyle w:val="FirstParagraph"/>
      </w:pPr>
      <w:r>
        <w:t xml:space="preserve">An</w:t>
      </w:r>
    </w:p>
    <w:p>
      <w:pPr>
        <w:pStyle w:val="BodyText"/>
      </w:pPr>
      <w:r>
        <w:t xml:space="preserve">The individual is not merely an employee but a scholar contributing to the global repository of knowledge. They are typically affiliated with prestigious institutions such as the Sorbonne University, École Normale Supérieure (ENS), or research centers like CNRS (Centre national de la recherche scientifique).</w:t>
      </w:r>
    </w:p>
    <w:bookmarkEnd w:id="21"/>
    <w:bookmarkStart w:id="24" w:name="the-context-france-paris"/>
    <w:p>
      <w:pPr>
        <w:pStyle w:val="Heading2"/>
      </w:pPr>
      <w:r>
        <w:t xml:space="preserve">3. The Context: France Paris</w:t>
      </w:r>
    </w:p>
    <w:p>
      <w:pPr>
        <w:pStyle w:val="FirstParagraph"/>
      </w:pPr>
      <w:r>
        <w:t xml:space="preserve">The setting is critical to understanding the case. Paris is not just a city; it is a symbol of intellectual history. For an Academic Researcher, being in France Paris means working within a system that values rigorous theoretical frameworks alongside practical application. The city offers unparalleled access to archives, libraries, and international conferences.</w:t>
      </w:r>
    </w:p>
    <w:bookmarkStart w:id="22" w:name="institutional-landscape"/>
    <w:p>
      <w:pPr>
        <w:pStyle w:val="Heading3"/>
      </w:pPr>
      <w:r>
        <w:t xml:space="preserve">3.1 Institutional Landscape</w:t>
      </w:r>
    </w:p>
    <w:p>
      <w:pPr>
        <w:pStyle w:val="FirstParagraph"/>
      </w:pPr>
      <w:r>
        <w:t xml:space="preserve">The academic infrastructure in France Paris is dense and competitive. Researchers must navigate a landscape dominated by grandes écoles and public universities. These institutions have distinct cultures: the grandes écoles often focus on elite engineering and management with strong ties to industry, while the universities maintain a broader mandate in basic sciences, humanities, and social sciences.</w:t>
      </w:r>
    </w:p>
    <w:bookmarkEnd w:id="22"/>
    <w:bookmarkStart w:id="23" w:name="funding-mechanisms"/>
    <w:p>
      <w:pPr>
        <w:pStyle w:val="Heading3"/>
      </w:pPr>
      <w:r>
        <w:t xml:space="preserve">3.2 Funding Mechanisms</w:t>
      </w:r>
    </w:p>
    <w:p>
      <w:pPr>
        <w:pStyle w:val="FirstParagraph"/>
      </w:pPr>
      <w:r>
        <w:t xml:space="preserve">Funding in this region is multifaceted. An Academic Researcher may draw support from:</w:t>
      </w:r>
    </w:p>
    <w:p>
      <w:pPr>
        <w:numPr>
          <w:ilvl w:val="0"/>
          <w:numId w:val="1001"/>
        </w:numPr>
        <w:pStyle w:val="Compact"/>
      </w:pPr>
      <w:r>
        <w:rPr>
          <w:bCs/>
          <w:b/>
        </w:rPr>
        <w:t xml:space="preserve">National Grants:</w:t>
      </w:r>
      <w:r>
        <w:t xml:space="preserve">The ANR (Agence Nationale de la Recherche) provides significant funding for high-risk, high-gain projects.</w:t>
      </w:r>
    </w:p>
    <w:p>
      <w:pPr>
        <w:numPr>
          <w:ilvl w:val="0"/>
          <w:numId w:val="1001"/>
        </w:numPr>
        <w:pStyle w:val="Compact"/>
      </w:pPr>
      <w:r>
        <w:rPr>
          <w:bCs/>
          <w:b/>
        </w:rPr>
        <w:t xml:space="preserve">European Union Funds:</w:t>
      </w:r>
      <w:r>
        <w:t xml:space="preserve">HORIZON Europe offers collaborative opportunities across borders, which is highly relevant for a researcher in France Paris due to its central location in Europe.</w:t>
      </w:r>
    </w:p>
    <w:p>
      <w:pPr>
        <w:numPr>
          <w:ilvl w:val="0"/>
          <w:numId w:val="1001"/>
        </w:numPr>
        <w:pStyle w:val="Compact"/>
      </w:pPr>
      <w:r>
        <w:rPr>
          <w:bCs/>
          <w:b/>
        </w:rPr>
        <w:t xml:space="preserve">Institutional Budgets:</w:t>
      </w:r>
      <w:r>
        <w:t xml:space="preserve">Dedicated resources from universities or CNRS labs.</w:t>
      </w:r>
    </w:p>
    <w:bookmarkEnd w:id="23"/>
    <w:bookmarkEnd w:id="24"/>
    <w:bookmarkStart w:id="25" w:name="operational-challenges-and-solutions"/>
    <w:p>
      <w:pPr>
        <w:pStyle w:val="Heading2"/>
      </w:pPr>
      <w:r>
        <w:t xml:space="preserve">4. Operational Challenges and Solutions</w:t>
      </w:r>
    </w:p>
    <w:p>
      <w:pPr>
        <w:pStyle w:val="FirstParagraph"/>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 10px; background-color: #ecf0f1; margin-bottom: 20px;"&gt;</w:t>
      </w:r>
      <w:r>
        <w:t xml:space="preserve"> </w:t>
      </w:r>
      <w:r>
        <w:rPr>
          <w:iCs/>
          <w:i/>
        </w:rPr>
        <w:t xml:space="preserve">Note:</w:t>
      </w:r>
      <w:r>
        <w:t xml:space="preserve"> </w:t>
      </w:r>
      <w:r>
        <w:t xml:space="preserve">While many research projects are conducted in English, administrative and social integration require French proficiency.</w:t>
      </w:r>
    </w:p>
    <w:p>
      <w:pPr>
        <w:pStyle w:val="BodyText"/>
      </w:pPr>
      <w:r>
        <w:rPr>
          <w:bCs/>
          <w:b/>
        </w:rPr>
        <w:t xml:space="preserve">The Language Barrier</w:t>
      </w:r>
      <w:r>
        <w:t xml:space="preserve"> </w:t>
      </w:r>
      <w:r>
        <w:t xml:space="preserve">padding: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France Paris</dc:title>
  <dc:creator/>
  <dc:language>en</dc:language>
  <cp:keywords/>
  <dcterms:created xsi:type="dcterms:W3CDTF">2026-07-29T06:50:47Z</dcterms:created>
  <dcterms:modified xsi:type="dcterms:W3CDTF">2026-07-29T06:50:47Z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