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Academic</w:t>
      </w:r>
      <w:r>
        <w:t xml:space="preserve"> </w:t>
      </w:r>
      <w:r>
        <w:t xml:space="preserve">Researcher</w:t>
      </w:r>
      <w:r>
        <w:t xml:space="preserve"> </w:t>
      </w:r>
      <w:r>
        <w:t xml:space="preserve">in</w:t>
      </w:r>
      <w:r>
        <w:t xml:space="preserve"> </w:t>
      </w:r>
      <w:r>
        <w:t xml:space="preserve">Germany</w:t>
      </w:r>
      <w:r>
        <w:t xml:space="preserve"> </w:t>
      </w:r>
      <w:r>
        <w:t xml:space="preserve">Frankfurt</w:t>
      </w:r>
    </w:p>
    <w:bookmarkStart w:id="31" w:name="X9bb8b24df84db159baba092356abd5324577f68"/>
    <w:p>
      <w:pPr>
        <w:pStyle w:val="Heading1"/>
      </w:pPr>
      <w:r>
        <w:t xml:space="preserve">The Strategic Integration of an Academic Researcher in the Innovation Ecosystem of Germany Frankfurt</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[Case Study]</w:t>
      </w:r>
      <w:r>
        <w:t xml:space="preserve">, meticulously detailing the professional journey, challenges, and strategic contributions of a senior Academic Researcher situated within the dynamic academic landscape of Germany Frankfurt. As Frankfurt am Main evolves from its traditional financial heart into a burgeoning hub for biotechnology, fintech research, and data science, the role of the Academic Researcher has transcended mere theoretical inquiry. This study analyzes how an individual in this specific geographic and professional context navigates institutional frameworks to drive innovation.</w:t>
      </w:r>
    </w:p>
    <w:p>
      <w:pPr>
        <w:pStyle w:val="BodyText"/>
      </w:pPr>
      <w:r>
        <w:t xml:space="preserve">The primary objective of this analysis is to understand how the unique synergy between Germany’s rigorous research standards and Frankfurt’s status as a global financial center creates a distinct operational environment. By examining the career progression, funding mechanisms, and collaborative networks of an Academic Researcher in this region, we can derive best practices for other institutions looking to replicate similar success models.</w:t>
      </w:r>
    </w:p>
    <w:bookmarkEnd w:id="20"/>
    <w:bookmarkStart w:id="21" w:name="X4ae6f9661402aa7a0a092ab061d20dea4e16c3f"/>
    <w:p>
      <w:pPr>
        <w:pStyle w:val="Heading2"/>
      </w:pPr>
      <w:r>
        <w:t xml:space="preserve">2. Contextual Background: The Frankfurt Landscape</w:t>
      </w:r>
    </w:p>
    <w:p>
      <w:pPr>
        <w:pStyle w:val="FirstParagraph"/>
      </w:pPr>
      <w:r>
        <w:t xml:space="preserve">To fully grasp the significance of this role, one must understand the specific environment of Germany Frankfurt. Unlike Berlin’s startup-centric culture or Munich’s industrial engineering focus, Germany Frankfurt is defined by its intersection with high-level finance, law, and increasingly, quantitative sciences. The city hosts major institutions such as Goethe University Frankfurt and the Fraunhofer Society's presence in the region.</w:t>
      </w:r>
    </w:p>
    <w:p>
      <w:pPr>
        <w:pStyle w:val="BodyText"/>
      </w:pPr>
      <w:r>
        <w:t xml:space="preserve">The</w:t>
      </w:r>
      <w:r>
        <w:t xml:space="preserve"> </w:t>
      </w:r>
      <w:r>
        <w:rPr>
          <w:bCs/>
          <w:b/>
        </w:rPr>
        <w:t xml:space="preserve">[Germany]</w:t>
      </w:r>
      <w:r>
        <w:t xml:space="preserve"> </w:t>
      </w:r>
      <w:r>
        <w:t xml:space="preserve">context is critical here. The German research framework relies heavily on structured grant systems (such as those from the DFG - Deutsche Forschungsgemeinschaft) and strong ties between public universities and private enterprise. For an Academic Researcher, this means that success is not solely measured by publication counts but by translational impact—how research can be applied within the financial or technological sectors dominant in Frankfurt.</w:t>
      </w:r>
    </w:p>
    <w:bookmarkEnd w:id="21"/>
    <w:bookmarkStart w:id="24" w:name="X7a6d02df19ed2b1293567f688251a6499b8b277"/>
    <w:p>
      <w:pPr>
        <w:pStyle w:val="Heading2"/>
      </w:pPr>
      <w:r>
        <w:t xml:space="preserve">3. Profile of the Subject: The Academic Researcher</w:t>
      </w:r>
    </w:p>
    <w:p>
      <w:pPr>
        <w:pStyle w:val="FirstParagraph"/>
      </w:pPr>
      <w:r>
        <w:t xml:space="preserve">The subject of this study, hereafter referred to as "Dr. A," holds a tenure-track position in Computational Economics and Data Science at a leading university in Germany Frankfurt. Dr. A represents the archetype of the modern interdisciplinary researcher who bridges the gap between abstract mathematical modeling and practical financial risk assessment.</w:t>
      </w:r>
    </w:p>
    <w:bookmarkStart w:id="22" w:name="educational-and-professional-pedigree"/>
    <w:p>
      <w:pPr>
        <w:pStyle w:val="Heading3"/>
      </w:pPr>
      <w:r>
        <w:t xml:space="preserve">3.1 Educational and Professional Pedigree</w:t>
      </w:r>
    </w:p>
    <w:p>
      <w:pPr>
        <w:pStyle w:val="FirstParagraph"/>
      </w:pPr>
      <w:r>
        <w:t xml:space="preserve">Dr. A completed their PhD at a prestigious institution in Munich before securing a post-doctoral fellowship in London. The decision to return to Germany Frankfurt was strategic, driven by the city’s growing ecosystem for fintech research. This move highlights the increasing attractiveness of German cities beyond Berlin and Munich for specialized researchers.</w:t>
      </w:r>
    </w:p>
    <w:bookmarkEnd w:id="22"/>
    <w:bookmarkStart w:id="23" w:name="core-responsibilities"/>
    <w:p>
      <w:pPr>
        <w:pStyle w:val="Heading3"/>
      </w:pPr>
      <w:r>
        <w:t xml:space="preserve">3.2 Core Responsibilities</w:t>
      </w:r>
    </w:p>
    <w:p>
      <w:pPr>
        <w:pStyle w:val="FirstParagraph"/>
      </w:pPr>
      <w:r>
        <w:t xml:space="preserve">In this [Case Study], we observe that Dr. A’s responsibilities are triple-fold: academic teaching, peer-reviewed publication, and industry collaboration. Unlike traditional roles in the US or UK, the German Academic Researcher is often expected to maintain significant administrative duties within their department while leading a small research group.</w:t>
      </w:r>
    </w:p>
    <w:bookmarkEnd w:id="23"/>
    <w:bookmarkEnd w:id="24"/>
    <w:bookmarkStart w:id="27" w:name="strategic-challenges-and-solutions"/>
    <w:p>
      <w:pPr>
        <w:pStyle w:val="Heading2"/>
      </w:pPr>
      <w:r>
        <w:t xml:space="preserve">4. Strategic Challenges and Solutions</w:t>
      </w:r>
    </w:p>
    <w:p>
      <w:pPr>
        <w:pStyle w:val="FirstParagraph"/>
      </w:pPr>
      <w:r>
        <w:rPr>
          <w:bCs/>
          <w:b/>
        </w:rPr>
        <w:t xml:space="preserve">Key Challenge:</w:t>
      </w:r>
      <w:r>
        <w:t xml:space="preserve">Bridging the Cultural Divide between Finance and Academia in Germany Frankfurt.</w:t>
      </w:r>
    </w:p>
    <w:p>
      <w:pPr>
        <w:pStyle w:val="BodyText"/>
      </w:pPr>
      <w:r>
        <w:t xml:space="preserve">The primary friction point identified in this analysis is the differing paces of academia versus finance. Academic research requires time for theoretical rigor, while Frankfurt’s financial institutions demand immediate, actionable insights. Dr. A addressed this by establishing a "sandbox environment" where proprietary data from local banks could be used for non-sensitive model testing.</w:t>
      </w:r>
    </w:p>
    <w:bookmarkStart w:id="25" w:name="navigating-bureaucracy"/>
    <w:p>
      <w:pPr>
        <w:pStyle w:val="Heading3"/>
      </w:pPr>
      <w:r>
        <w:t xml:space="preserve">4.1 Navigating Bureaucracy</w:t>
      </w:r>
    </w:p>
    <w:p>
      <w:pPr>
        <w:pStyle w:val="FirstParagraph"/>
      </w:pPr>
      <w:r>
        <w:t xml:space="preserve">The German administrative system is notoriously detailed and rigorous. For an Academic Researcher in Germany Frankfurt, understanding the nuances of visa regulations (if applicable), tax implications, and university procurement laws is essential. This [Case Study] documents how Dr. A utilized a dedicated research administrator to handle compliance, thereby freeing up 40% of their time for core research activities.</w:t>
      </w:r>
    </w:p>
    <w:bookmarkEnd w:id="25"/>
    <w:bookmarkStart w:id="26" w:name="funding-acquisition"/>
    <w:p>
      <w:pPr>
        <w:pStyle w:val="Heading3"/>
      </w:pPr>
      <w:r>
        <w:t xml:space="preserve">4.2 Funding Acquisition</w:t>
      </w:r>
    </w:p>
    <w:p>
      <w:pPr>
        <w:pStyle w:val="FirstParagraph"/>
      </w:pPr>
      <w:r>
        <w:t xml:space="preserve">A critical component of the Academic Researcher’s survival in this region is securing diverse funding streams. Dr. A successfully pivoted from purely DFG-funded basic research to applied grants provided by the European Union’s Horizon Europe program and private sector partners located in Germany Frankfurt's financial district. This hybrid funding model provides stability and allows for larger-scale data acquisition.</w:t>
      </w:r>
    </w:p>
    <w:bookmarkEnd w:id="26"/>
    <w:bookmarkEnd w:id="27"/>
    <w:bookmarkStart w:id="28" w:name="impact-analysis"/>
    <w:p>
      <w:pPr>
        <w:pStyle w:val="Heading2"/>
      </w:pPr>
      <w:r>
        <w:t xml:space="preserve">5. Impact Analysis</w:t>
      </w:r>
    </w:p>
    <w:p>
      <w:pPr>
        <w:pStyle w:val="FirstParagraph"/>
      </w:pPr>
      <w:r>
        <w:t xml:space="preserve">The results of Dr. A’s tenure serve as a benchmark for future researchers in this field. Over a three-year period, the following outcomes were recorded:</w:t>
      </w:r>
    </w:p>
    <w:p>
      <w:pPr>
        <w:numPr>
          <w:ilvl w:val="0"/>
          <w:numId w:val="1001"/>
        </w:numPr>
        <w:pStyle w:val="Compact"/>
      </w:pPr>
      <w:r>
        <w:rPr>
          <w:bCs/>
          <w:b/>
        </w:rPr>
        <w:t xml:space="preserve">Publishing Output:</w:t>
      </w:r>
      <w:r>
        <w:t xml:space="preserve"> </w:t>
      </w:r>
      <w:r>
        <w:t xml:space="preserve">15 high-impact factor journal articles, demonstrating that industry collaboration does not diminish academic rigor.</w:t>
      </w:r>
    </w:p>
    <w:p>
      <w:pPr>
        <w:numPr>
          <w:ilvl w:val="0"/>
          <w:numId w:val="1001"/>
        </w:numPr>
        <w:pStyle w:val="Compact"/>
      </w:pPr>
      <w:r>
        <w:rPr>
          <w:bCs/>
          <w:b/>
        </w:rPr>
        <w:t xml:space="preserve">Economic Impact:</w:t>
      </w:r>
      <w:r>
        <w:t xml:space="preserve">The development of a risk-assessment algorithm adopted by three major banks in Germany Frankfurt, resulting in an estimated efficiency gain of 12% for compliance teams.</w:t>
      </w:r>
    </w:p>
    <w:p>
      <w:pPr>
        <w:numPr>
          <w:ilvl w:val="0"/>
          <w:numId w:val="1001"/>
        </w:numPr>
        <w:pStyle w:val="Compact"/>
      </w:pPr>
      <w:r>
        <w:rPr>
          <w:bCs/>
          <w:b/>
        </w:rPr>
        <w:t xml:space="preserve">Talent Development:</w:t>
      </w:r>
      <w:r>
        <w:t xml:space="preserve"> </w:t>
      </w:r>
      <w:r>
        <w:t xml:space="preserve">Supervision of 8 PhD students and 15 Master’s thesis projects, many of whom secured employment in the local fintech sector.</w:t>
      </w:r>
    </w:p>
    <w:p>
      <w:pPr>
        <w:pStyle w:val="FirstParagraph"/>
      </w:pPr>
      <w:r>
        <w:t xml:space="preserve">This data underscores that the Academic Researcher is not an isolated scholar but a pivotal node in the regional economic network. The location-specific advantage of being in Germany Frankfurt cannot be overstated; proximity to decision-makers allows for faster iteration and implementation of research findings.</w:t>
      </w:r>
    </w:p>
    <w:bookmarkEnd w:id="28"/>
    <w:bookmarkStart w:id="29" w:name="lessons-learned-and-recommendations"/>
    <w:p>
      <w:pPr>
        <w:pStyle w:val="Heading2"/>
      </w:pPr>
      <w:r>
        <w:t xml:space="preserve">6. Lessons Learned and Recommendations</w:t>
      </w:r>
    </w:p>
    <w:p>
      <w:pPr>
        <w:pStyle w:val="FirstParagraph"/>
      </w:pPr>
      <w:r>
        <w:t xml:space="preserve">This [Case Study] provides several actionable insights for prospective Academic Researchers considering a move to Germany Frankfurt:</w:t>
      </w:r>
    </w:p>
    <w:p>
      <w:pPr>
        <w:numPr>
          <w:ilvl w:val="0"/>
          <w:numId w:val="1002"/>
        </w:numPr>
        <w:pStyle w:val="Compact"/>
      </w:pPr>
      <w:r>
        <w:rPr>
          <w:bCs/>
          <w:b/>
        </w:rPr>
        <w:t xml:space="preserve">Leverage Local Synergies:</w:t>
      </w:r>
      <w:r>
        <w:t xml:space="preserve">The financial density of Germany Frankfurt offers unique data sources. Researchers should proactively seek partnerships with local institutions early in their career.</w:t>
      </w:r>
    </w:p>
    <w:p>
      <w:pPr>
        <w:numPr>
          <w:ilvl w:val="0"/>
          <w:numId w:val="1002"/>
        </w:numPr>
        <w:pStyle w:val="Compact"/>
      </w:pPr>
      <w:r>
        <w:rPr>
          <w:bCs/>
          <w:b/>
        </w:rPr>
        <w:t xml:space="preserve">Understand the German Academic Structure:</w:t>
      </w:r>
      <w:r>
        <w:t xml:space="preserve">Navigating the hierarchy and administrative requirements requires patience and respect for procedural norms. Building relationships with departmental secretaries is as important as networking with peers.</w:t>
      </w:r>
    </w:p>
    <w:p>
      <w:pPr>
        <w:numPr>
          <w:ilvl w:val="0"/>
          <w:numId w:val="1002"/>
        </w:numPr>
        <w:pStyle w:val="Compact"/>
      </w:pPr>
      <w:r>
        <w:rPr>
          <w:bCs/>
          <w:b/>
        </w:rPr>
        <w:t xml:space="preserve">Diversify Funding Sources:</w:t>
      </w:r>
      <w:r>
        <w:t xml:space="preserve">Relying solely on state funding is risky. A hybrid model involving EU grants, federal projects, and private industry contracts ensures long-term sustainability.</w:t>
      </w:r>
    </w:p>
    <w:bookmarkEnd w:id="29"/>
    <w:bookmarkStart w:id="30" w:name="conclusion"/>
    <w:p>
      <w:pPr>
        <w:pStyle w:val="Heading2"/>
      </w:pPr>
      <w:r>
        <w:t xml:space="preserve">7. Conclusion</w:t>
      </w:r>
    </w:p>
    <w:p>
      <w:pPr>
        <w:pStyle w:val="FirstParagraph"/>
      </w:pPr>
      <w:r>
        <w:t xml:space="preserve">The role of the Academic Researcher in Germany Frankfurt is evolving rapidly. It is no longer sufficient to focus exclusively on theoretical advancements; there is a growing imperative for translational research that impacts the real-world economy. This [Case Study] illustrates that by effectively navigating the unique cultural, bureaucratic, and economic landscape of Germany Frankfurt, an Academic Researcher can achieve significant scholarly and societal impact.</w:t>
      </w:r>
    </w:p>
    <w:p>
      <w:pPr>
        <w:pStyle w:val="BodyText"/>
      </w:pPr>
      <w:r>
        <w:t xml:space="preserve">For universities in similar financial hubs worldwide, this document serves as a template for structuring research careers that are both academically prestigious and economically relevant. The success of Dr. A proves that with strategic planning and local adaptation, the position of an Academic Researcher can be a powerful catalyst for innovation.</w:t>
      </w:r>
    </w:p>
    <w:p>
      <w:r>
        <w:pict>
          <v:rect style="width:0;height:1.5pt" o:hralign="center" o:hrstd="t" o:hr="t"/>
        </w:pict>
      </w:r>
    </w:p>
    <w:p>
      <w:pPr>
        <w:pStyle w:val="FirstParagraph"/>
      </w:pPr>
      <w:r>
        <w:rPr>
          <w:iCs/>
          <w:i/>
        </w:rPr>
        <w:t xml:space="preserve">Note: This document is a simulated [Case Study] for illustrative purposes regarding career dynamics in Germany Frankfurt.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Academic Researcher in Germany Frankfurt</dc:title>
  <dc:creator/>
  <dc:language>en</dc:language>
  <cp:keywords/>
  <dcterms:created xsi:type="dcterms:W3CDTF">2026-07-29T06:51:32Z</dcterms:created>
  <dcterms:modified xsi:type="dcterms:W3CDTF">2026-07-29T06:51:32Z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