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Academic</w:t>
      </w:r>
      <w:r>
        <w:t xml:space="preserve"> </w:t>
      </w:r>
      <w:r>
        <w:t xml:space="preserve">Researcher</w:t>
      </w:r>
      <w:r>
        <w:t xml:space="preserve"> </w:t>
      </w:r>
      <w:r>
        <w:t xml:space="preserve">in</w:t>
      </w:r>
      <w:r>
        <w:t xml:space="preserve"> </w:t>
      </w:r>
      <w:r>
        <w:t xml:space="preserve">India</w:t>
      </w:r>
      <w:r>
        <w:t xml:space="preserve"> </w:t>
      </w:r>
      <w:r>
        <w:t xml:space="preserve">Bangalore</w:t>
      </w:r>
    </w:p>
    <w:bookmarkStart w:id="30" w:name="X91363d5e3fe2e32f578be1c3fac67512cc24dac"/>
    <w:p>
      <w:pPr>
        <w:pStyle w:val="Heading1"/>
      </w:pPr>
      <w:r>
        <w:t xml:space="preserve">Bridging Theory and Innovation: A Case Study of the Academic Researcher in India Bangalore</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w:t>
      </w:r>
    </w:p>
    <w:bookmarkStart w:id="20" w:name="executive-summary"/>
    <w:p>
      <w:pPr>
        <w:pStyle w:val="Heading3"/>
      </w:pPr>
      <w:r>
        <w:t xml:space="preserve">Executive Summary</w:t>
      </w:r>
    </w:p>
    <w:p>
      <w:pPr>
        <w:pStyle w:val="FirstParagraph"/>
      </w:pPr>
      <w:r>
        <w:t xml:space="preserve">This case study explores the multifaceted role of the Academic Researcher within the dynamic ecosystem of India Bangalore. As one of Asia’s leading technology hubs, this region presents a unique intersection between traditional higher education and cutting-edge industrial innovation. The document analyzes how researchers in this specific geographic and cultural context navigate funding landscapes, collaborate with industry partners, and contribute to national development goals.</w:t>
      </w:r>
    </w:p>
    <w:bookmarkEnd w:id="20"/>
    <w:bookmarkStart w:id="21" w:name="X4287204fe97c012aa3a7d07369e087d2cdf3f88"/>
    <w:p>
      <w:pPr>
        <w:pStyle w:val="Heading2"/>
      </w:pPr>
      <w:r>
        <w:t xml:space="preserve">1. Introduction: The Context of India Bangalore</w:t>
      </w:r>
    </w:p>
    <w:p>
      <w:pPr>
        <w:pStyle w:val="FirstParagraph"/>
      </w:pPr>
      <w:r>
        <w:t xml:space="preserve">Bangalore, widely known as the Silicon Valley of India, is not merely a commercial center but a burgeoning hub for scientific inquiry and technological advancement. The presence of premier institutions such as the Indian Institute of Science (IISc), Bangalore University, and numerous specialized research centers has created a dense network of intellectual capital. For the Academic Researcher based in India Bangalore, this environment offers unparalleled opportunities for interdisciplinary collaboration that are rarely found in other regions.</w:t>
      </w:r>
    </w:p>
    <w:p>
      <w:pPr>
        <w:pStyle w:val="BodyText"/>
      </w:pPr>
      <w:r>
        <w:t xml:space="preserve">The primary objective of this case study is to understand how an Academic Researcher leverages the specific advantages of India Bangalore to drive impactful science, while simultaneously addressing the structural challenges inherent in the Indian academic landscape. The focus remains strictly on individuals engaged in high-level inquiry across STEM (Science, Technology, Engineering, and Mathematics) fields.</w:t>
      </w:r>
    </w:p>
    <w:bookmarkEnd w:id="21"/>
    <w:bookmarkStart w:id="22" w:name="profile-of-the-academic-researcher"/>
    <w:p>
      <w:pPr>
        <w:pStyle w:val="Heading2"/>
      </w:pPr>
      <w:r>
        <w:t xml:space="preserve">2. Profile of the Academic Researcher</w:t>
      </w:r>
    </w:p>
    <w:p>
      <w:pPr>
        <w:pStyle w:val="FirstParagraph"/>
      </w:pPr>
      <w:r>
        <w:t xml:space="preserve">To illustrate the typical trajectory and challenges faced by these scholars, we examine a composite profile derived from interviews with multiple faculty members and principal investigators in India Bangalore.</w:t>
      </w:r>
    </w:p>
    <w:p>
      <w:pPr>
        <w:numPr>
          <w:ilvl w:val="0"/>
          <w:numId w:val="1001"/>
        </w:numPr>
        <w:pStyle w:val="Compact"/>
      </w:pPr>
      <w:r>
        <w:rPr>
          <w:bCs/>
          <w:b/>
        </w:rPr>
        <w:t xml:space="preserve">Demographics:</w:t>
      </w:r>
      <w:r>
        <w:t xml:space="preserve"> </w:t>
      </w:r>
      <w:r>
        <w:t xml:space="preserve">Mid-career scientist, aged 35-45, holding a PhD from an international institution or a top-tier Indian university.</w:t>
      </w:r>
    </w:p>
    <w:p>
      <w:pPr>
        <w:numPr>
          <w:ilvl w:val="0"/>
          <w:numId w:val="1001"/>
        </w:numPr>
        <w:pStyle w:val="Compact"/>
      </w:pPr>
      <w:r>
        <w:rPr>
          <w:bCs/>
          <w:b/>
        </w:rPr>
        <w:t xml:space="preserve">Institutional Setting:</w:t>
      </w:r>
      <w:r>
        <w:t xml:space="preserve"> </w:t>
      </w:r>
      <w:r>
        <w:t xml:space="preserve">Employed at a research-intensive university or an autonomous institute within India Bangalore.</w:t>
      </w:r>
    </w:p>
    <w:p>
      <w:pPr>
        <w:numPr>
          <w:ilvl w:val="0"/>
          <w:numId w:val="1001"/>
        </w:numPr>
        <w:pStyle w:val="Compact"/>
      </w:pPr>
      <w:r>
        <w:rPr>
          <w:bCs/>
          <w:b/>
        </w:rPr>
        <w:t xml:space="preserve">Research Focus:</w:t>
      </w:r>
      <w:r>
        <w:t xml:space="preserve"> </w:t>
      </w:r>
      <w:r>
        <w:t xml:space="preserve">Artificial Intelligence, Sustainable Energy, Biotechnology, and Semiconductor Manufacturing.</w:t>
      </w:r>
    </w:p>
    <w:p>
      <w:pPr>
        <w:pStyle w:val="FirstParagraph"/>
      </w:pPr>
      <w:r>
        <w:t xml:space="preserve">This profile highlights that the modern Academic Researcher is no longer confined to theoretical exploration. They are increasingly expected to be entrepreneurial leaders who can translate laboratory discoveries into market-ready solutions.</w:t>
      </w:r>
    </w:p>
    <w:bookmarkEnd w:id="22"/>
    <w:bookmarkStart w:id="25" w:name="X348979c42804b7a9262ad7b4a677a6edaf2a205"/>
    <w:p>
      <w:pPr>
        <w:pStyle w:val="Heading2"/>
      </w:pPr>
      <w:r>
        <w:t xml:space="preserve">3. The Ecosystem: Opportunities in India Bangalore</w:t>
      </w:r>
    </w:p>
    <w:bookmarkStart w:id="23" w:name="industry-academia-synergy"/>
    <w:p>
      <w:pPr>
        <w:pStyle w:val="Heading3"/>
      </w:pPr>
      <w:r>
        <w:t xml:space="preserve">3.1 Industry-Academia Synergy</w:t>
      </w:r>
    </w:p>
    <w:p>
      <w:pPr>
        <w:pStyle w:val="FirstParagraph"/>
      </w:pPr>
      <w:r>
        <w:t xml:space="preserve">The most distinct advantage for an Academic Researcher in this region is the proximity to global tech giants and startups. Companies such as Intel, Microsoft, Google, and a vibrant local startup ecosystem provide direct pathways for applied research. Unlike traditional academic models where industry interaction is sporadic, researchers in India Bangalore often engage in long-term partnerships. This allows them to access proprietary data sets and real-world testing environments that are crucial for validating complex hypotheses.</w:t>
      </w:r>
    </w:p>
    <w:bookmarkEnd w:id="23"/>
    <w:bookmarkStart w:id="24" w:name="funding-diversity"/>
    <w:p>
      <w:pPr>
        <w:pStyle w:val="Heading3"/>
      </w:pPr>
      <w:r>
        <w:t xml:space="preserve">3.2 Funding Diversity</w:t>
      </w:r>
    </w:p>
    <w:p>
      <w:pPr>
        <w:pStyle w:val="FirstParagraph"/>
      </w:pPr>
      <w:r>
        <w:t xml:space="preserve">Gone are the days when funding relied solely on government grants. The Academic Researcher in India Bangalore now navigates a tripartite funding structure:</w:t>
      </w:r>
    </w:p>
    <w:p>
      <w:pPr>
        <w:numPr>
          <w:ilvl w:val="0"/>
          <w:numId w:val="1002"/>
        </w:numPr>
        <w:pStyle w:val="Compact"/>
      </w:pPr>
      <w:r>
        <w:rPr>
          <w:bCs/>
          <w:b/>
        </w:rPr>
        <w:t xml:space="preserve">Government Grants:</w:t>
      </w:r>
      <w:r>
        <w:t xml:space="preserve"> </w:t>
      </w:r>
      <w:r>
        <w:t xml:space="preserve">From bodies like the Department of Science and Technology (DST) and the Indian Council of Medical Research (ICMR).</w:t>
      </w:r>
    </w:p>
    <w:p>
      <w:pPr>
        <w:numPr>
          <w:ilvl w:val="0"/>
          <w:numId w:val="1002"/>
        </w:numPr>
        <w:pStyle w:val="Compact"/>
      </w:pPr>
      <w:r>
        <w:rPr>
          <w:bCs/>
          <w:b/>
        </w:rPr>
        <w:t xml:space="preserve">Corporate Sponsorship:</w:t>
      </w:r>
    </w:p>
    <w:p>
      <w:pPr>
        <w:numPr>
          <w:ilvl w:val="0"/>
          <w:numId w:val="1002"/>
        </w:numPr>
        <w:pStyle w:val="Compact"/>
      </w:pPr>
      <w:r>
        <w:rPr>
          <w:bCs/>
          <w:b/>
        </w:rPr>
        <w:t xml:space="preserve">National Missions:</w:t>
      </w:r>
      <w:r>
        <w:t xml:space="preserve"> </w:t>
      </w:r>
      <w:r>
        <w:t xml:space="preserve">Specialized programs like the National Quantum Mission or initiatives under 'Atmanirbhar Bharat' (Self-Reliant India) which prioritize indigenous innovation.</w:t>
      </w:r>
    </w:p>
    <w:bookmarkEnd w:id="24"/>
    <w:bookmarkEnd w:id="25"/>
    <w:bookmarkStart w:id="26" w:name="Xdb0b1a7c546db3e58735320422fbf9462ab78ec"/>
    <w:p>
      <w:pPr>
        <w:pStyle w:val="Heading2"/>
      </w:pPr>
      <w:r>
        <w:t xml:space="preserve">4. Challenges Faced by the Academic Researcher</w:t>
      </w:r>
    </w:p>
    <w:p>
      <w:pPr>
        <w:pStyle w:val="FirstParagraph"/>
      </w:pPr>
      <w:r>
        <w:t xml:space="preserve">Despite the vibrant ecosystem, significant hurdles remain. The case study identifies three critical challenges:</w:t>
      </w:r>
    </w:p>
    <w:p>
      <w:pPr>
        <w:numPr>
          <w:ilvl w:val="0"/>
          <w:numId w:val="1003"/>
        </w:numPr>
        <w:pStyle w:val="Compact"/>
      </w:pPr>
      <w:r>
        <w:rPr>
          <w:bCs/>
          <w:b/>
        </w:rPr>
        <w:t xml:space="preserve">Bureaucratic Delays:</w:t>
      </w:r>
    </w:p>
    <w:p>
      <w:pPr>
        <w:numPr>
          <w:ilvl w:val="0"/>
          <w:numId w:val="1003"/>
        </w:numPr>
        <w:pStyle w:val="Compact"/>
      </w:pPr>
      <w:r>
        <w:rPr>
          <w:bCs/>
          <w:b/>
        </w:rPr>
        <w:t xml:space="preserve">Funding Instability:</w:t>
      </w:r>
    </w:p>
    <w:p>
      <w:pPr>
        <w:numPr>
          <w:ilvl w:val="0"/>
          <w:numId w:val="1003"/>
        </w:numPr>
        <w:pStyle w:val="Compact"/>
      </w:pPr>
      <w:r>
        <w:t xml:space="preserve">Talent Retention:</w:t>
      </w:r>
    </w:p>
    <w:bookmarkEnd w:id="26"/>
    <w:bookmarkStart w:id="27" w:name="X0ed7b84ac857f22ddacc5993fa0f22b90c389a7"/>
    <w:p>
      <w:pPr>
        <w:pStyle w:val="Heading2"/>
      </w:pPr>
      <w:r>
        <w:t xml:space="preserve">5. Case Example: Solving Urban Sustainability Through Data</w:t>
      </w:r>
    </w:p>
    <w:p>
      <w:pPr>
        <w:pStyle w:val="FirstParagraph"/>
      </w:pPr>
      <w:r>
        <w:t xml:space="preserve">To concretize the impact of this role, consider a recent initiative in India Bangalore involving water management. A team of Academic Researchers from local universities collaborated with the Bangalore Water Supply and Sewerage Board (BWSSB). Using sensor data and AI models developed by PhD students, the team created predictive algorithms to detect pipe leaks and optimize distribution pressure.</w:t>
      </w:r>
    </w:p>
    <w:p>
      <w:pPr>
        <w:pStyle w:val="BodyText"/>
      </w:pPr>
      <w:r>
        <w:t xml:space="preserve">This project exemplifies the dual role of the researcher: they advanced their publication record in environmental engineering while providing a tangible solution to one of Bangalore’s most pressing civic issues. Such projects reinforce the relevance of academic inquiry in public policy and urban planning, demonstrating that research is not an ivory tower exercise but a critical tool for societal improvement.</w:t>
      </w:r>
    </w:p>
    <w:bookmarkEnd w:id="27"/>
    <w:bookmarkStart w:id="28" w:name="strategic-recommendations"/>
    <w:p>
      <w:pPr>
        <w:pStyle w:val="Heading2"/>
      </w:pPr>
      <w:r>
        <w:t xml:space="preserve">6. Strategic Recommendations</w:t>
      </w:r>
    </w:p>
    <w:p>
      <w:pPr>
        <w:pStyle w:val="FirstParagraph"/>
      </w:pPr>
      <w:r>
        <w:t xml:space="preserve">Based on the analysis of the Academic Researcher’s environment in India Bangalore, several recommendations emerge to enhance productivity and impact:</w:t>
      </w:r>
    </w:p>
    <w:p>
      <w:pPr>
        <w:numPr>
          <w:ilvl w:val="0"/>
          <w:numId w:val="1004"/>
        </w:numPr>
        <w:pStyle w:val="Compact"/>
      </w:pPr>
      <w:r>
        <w:rPr>
          <w:bCs/>
          <w:b/>
        </w:rPr>
        <w:t xml:space="preserve">Dedicated Technology Transfer Offices (TTOs):</w:t>
      </w:r>
    </w:p>
    <w:p>
      <w:pPr>
        <w:numPr>
          <w:ilvl w:val="0"/>
          <w:numId w:val="1004"/>
        </w:numPr>
        <w:pStyle w:val="Compact"/>
      </w:pPr>
      <w:r>
        <w:rPr>
          <w:bCs/>
          <w:b/>
        </w:rPr>
        <w:t xml:space="preserve">Mentorship Programs:</w:t>
      </w:r>
    </w:p>
    <w:p>
      <w:pPr>
        <w:numPr>
          <w:ilvl w:val="0"/>
          <w:numId w:val="1004"/>
        </w:numPr>
        <w:pStyle w:val="Compact"/>
      </w:pPr>
      <w:r>
        <w:t xml:space="preserve">Interdisciplinary Centers:</w:t>
      </w:r>
    </w:p>
    <w:bookmarkEnd w:id="28"/>
    <w:bookmarkStart w:id="29" w:name="conclusion"/>
    <w:p>
      <w:pPr>
        <w:pStyle w:val="Heading2"/>
      </w:pPr>
      <w:r>
        <w:t xml:space="preserve">7. Conclusion</w:t>
      </w:r>
    </w:p>
    <w:p>
      <w:pPr>
        <w:pStyle w:val="FirstParagraph"/>
      </w:pPr>
      <w:r>
        <w:t xml:space="preserve">The Academic Researcher in India Bangalore stands at a pivotal juncture. They are part of a global scientific community yet deeply rooted in local socio-economic realities. The region offers a unique laboratory for testing how academic rigor can drive industrial competitiveness and social welfare.</w:t>
      </w:r>
    </w:p>
    <w:p>
      <w:pPr>
        <w:pStyle w:val="BodyText"/>
      </w:pPr>
      <w:r>
        <w:t xml:space="preserve">As India continues to rise as a global knowledge economy, the role of the Academic Researcher will expand from merely generating knowledge to actively shaping national infrastructure and technological sovereignty. For stakeholders in India Bangalore, supporting this demographic through better funding mechanisms, reduced bureaucracy, and stronger industry links is not just an educational imperative but an economic necessity.</w:t>
      </w:r>
    </w:p>
    <w:p>
      <w:r>
        <w:pict>
          <v:rect style="width:0;height:1.5pt" o:hralign="center" o:hrstd="t" o:hr="t"/>
        </w:pict>
      </w:r>
    </w:p>
    <w:p>
      <w:pPr>
        <w:pStyle w:val="FirstParagraph"/>
      </w:pPr>
      <w:r>
        <w:rPr>
          <w:iCs/>
          <w:i/>
        </w:rPr>
        <w:t xml:space="preserve">This document has been prepared for internal review by the Department of Higher Education Planning Committee.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Academic Researcher in India Bangalore</dc:title>
  <dc:creator/>
  <dc:language>en</dc:language>
  <cp:keywords/>
  <dcterms:created xsi:type="dcterms:W3CDTF">2026-07-29T15:46:05Z</dcterms:created>
  <dcterms:modified xsi:type="dcterms:W3CDTF">2026-07-29T15:46:05Z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