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India,</w:t>
      </w:r>
      <w:r>
        <w:t xml:space="preserve"> </w:t>
      </w:r>
      <w:r>
        <w:t xml:space="preserve">Mumbai</w:t>
      </w:r>
    </w:p>
    <w:bookmarkStart w:id="28" w:name="X359d595ae7f72315d2498a28b31017ec97becb7"/>
    <w:p>
      <w:pPr>
        <w:pStyle w:val="Heading1"/>
      </w:pPr>
      <w:r>
        <w:t xml:space="preserve">Case Study: The Academic Researcher in India, Mumbai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Jurisdiction/Region:</w:t>
      </w:r>
    </w:p>
    <w:p>
      <w:pPr>
        <w:pStyle w:val="BodyText"/>
      </w:pPr>
      <w:r>
        <w:t xml:space="preserve">.</w:t>
      </w:r>
    </w:p>
    <w:bookmarkStart w:id="20" w:name="executive-summary"/>
    <w:p>
      <w:pPr>
        <w:pStyle w:val="Heading2"/>
      </w:pPr>
      <w:r>
        <w:t xml:space="preserve">Executive Summary</w:t>
      </w:r>
    </w:p>
    <w:p>
      <w:pPr>
        <w:pStyle w:val="FirstParagraph"/>
      </w:pPr>
      <w:r>
        <w:t xml:space="preserve">This case study provides a comprehensive analysis of the professional ecosystem surrounding the role of an Academic Researcher within the dynamic urban landscape of Mumbai, India. As one of the most densely populated and economically significant cities in Asia, Mumbai presents a unique set of challenges and opportunities for scholarly activity. The document explores how an Academic Researcher navigates institutional frameworks, funding landscapes, collaborative networks, and logistical hurdles specific to this metropolitan hub in India. It aims to provide stakeholders—university administrators, policy makers with insights into optimizing research output and supporting faculty well-being in this high-pressure environment.</w:t>
      </w:r>
    </w:p>
    <w:bookmarkEnd w:id="20"/>
    <w:bookmarkStart w:id="21" w:name="X43119103ae09a7ec145ac304dfe26cd9532577a"/>
    <w:p>
      <w:pPr>
        <w:pStyle w:val="Heading2"/>
      </w:pPr>
      <w:r>
        <w:t xml:space="preserve">1. Introduction: The Context of Academic Research</w:t>
      </w:r>
    </w:p>
    <w:p>
      <w:pPr>
        <w:pStyle w:val="FirstParagraph"/>
      </w:pPr>
      <w:r>
        <w:t xml:space="preserve">The role of the</w:t>
      </w:r>
      <w:r>
        <w:t xml:space="preserve"> </w:t>
      </w:r>
      <w:r>
        <w:t xml:space="preserve">. In recent decades, there has been a concerted effort to transition Indian academia from a teaching-centric model to one that values empirical inquiry and innovation. However, this transition is uneven across different institutions and cities. Mumbai stands out as a critical node in this national network due to its concentration of prestigious universities such as the University of Mumbai, Tata Institute of Social Sciences (TISS), and various autonomous research centers affiliated with national bodies like the University Grants Commission (UGC) and the Indian Council of Social Science Research (ICSSR).</w:t>
      </w:r>
      <w:r>
        <w:t xml:space="preserve"> </w:t>
      </w:r>
      <w:r>
        <w:t xml:space="preserve">For an</w:t>
      </w:r>
      <w:r>
        <w:t xml:space="preserve"> </w:t>
      </w:r>
      <w:r>
        <w:rPr>
          <w:bCs/>
          <w:b/>
        </w:rPr>
        <w:t xml:space="preserve">Academic Researcher</w:t>
      </w:r>
      <w:r>
        <w:t xml:space="preserve"> </w:t>
      </w:r>
      <w:r>
        <w:t xml:space="preserve">in this context, the primary objective is not merely publication but also contributing to policy formulation, industrial innovation, and social development relevant to India’s growing economy. The stakes are high, given Mumbai’s status as the financial capital of India and its role as a gateway for international collaborations.</w:t>
      </w:r>
    </w:p>
    <w:bookmarkEnd w:id="21"/>
    <w:bookmarkStart w:id="22" w:name="institutional-landscape-in-mumbai"/>
    <w:p>
      <w:pPr>
        <w:pStyle w:val="Heading2"/>
      </w:pPr>
      <w:r>
        <w:t xml:space="preserve">2. Institutional Landscape in Mumbai</w:t>
      </w:r>
    </w:p>
    <w:p>
      <w:pPr>
        <w:pStyle w:val="FirstParagraph"/>
      </w:pPr>
      <w:r>
        <w:t xml:space="preserve">The infrastructure available to an</w:t>
      </w:r>
      <w:r>
        <w:t xml:space="preserve"> </w:t>
      </w:r>
      <w:r>
        <w:t xml:space="preserve">. Unlike tier-1 cities such as Bangalore or Hyderabad, which have specialized tech parks, Mumbai’s research infrastructure is deeply embedded within historic university campuses and independent institutes.</w:t>
      </w:r>
      <w:r>
        <w:t xml:space="preserve"> </w:t>
      </w:r>
      <w:r>
        <w:rPr>
          <w:bCs/>
          <w:b/>
        </w:rPr>
        <w:t xml:space="preserve">A.</w:t>
      </w:r>
      <w:r>
        <w:t xml:space="preserve"> </w:t>
      </w:r>
      <w:r>
        <w:t xml:space="preserve">University of Mumbai: As one of the oldest universities in India, it houses diverse departments ranging from marine biology to post-colonial literature. Researchers here often face bureaucratic delays but benefit from deep archival resources and established alumni networks across the globe.</w:t>
      </w:r>
      <w:r>
        <w:t xml:space="preserve"> </w:t>
      </w:r>
      <w:r>
        <w:rPr>
          <w:bCs/>
          <w:b/>
        </w:rPr>
        <w:t xml:space="preserve">B.</w:t>
      </w:r>
      <w:r>
        <w:t xml:space="preserve"> </w:t>
      </w:r>
      <w:r>
        <w:t xml:space="preserve">Specialized Institutes: Institutions like the Homi Bhabha Centre for Science Education (HBCSE) or the National Institute of Ocean Technology offer cutting-edge facilities for physical sciences and engineering. These institutions attract top-tier</w:t>
      </w:r>
      <w:r>
        <w:t xml:space="preserve"> </w:t>
      </w:r>
      <w:r>
        <w:t xml:space="preserve">, often competing with private sector roles in terms of intellectual stimulation, though not always in salary competitiveness.</w:t>
      </w:r>
    </w:p>
    <w:bookmarkEnd w:id="22"/>
    <w:bookmarkStart w:id="23" w:name="Xdb0b1a7c546db3e58735320422fbf9462ab78ec"/>
    <w:p>
      <w:pPr>
        <w:pStyle w:val="Heading2"/>
      </w:pPr>
      <w:r>
        <w:t xml:space="preserve">3. Challenges Faced by the Academic Researcher</w:t>
      </w:r>
    </w:p>
    <w:p>
      <w:pPr>
        <w:pStyle w:val="FirstParagraph"/>
      </w:pPr>
      <w:r>
        <w:t xml:space="preserve">Despite the rich academic heritage, an</w:t>
      </w:r>
    </w:p>
    <w:p>
      <w:pPr>
        <w:pStyle w:val="BodyText"/>
      </w:pPr>
      <w:r>
        <w:t xml:space="preserve">. The following are critical pain points:</w:t>
      </w:r>
    </w:p>
    <w:p>
      <w:pPr>
        <w:numPr>
          <w:ilvl w:val="0"/>
          <w:numId w:val="1001"/>
        </w:numPr>
        <w:pStyle w:val="Compact"/>
      </w:pPr>
      <w:r>
        <w:rPr>
          <w:bCs/>
          <w:b/>
        </w:rPr>
        <w:t xml:space="preserve">Funding Constraints:</w:t>
      </w:r>
      <w:r>
        <w:t xml:space="preserve">A major hurdle is securing consistent grants. While national schemes exist, competition is fierce. Many researchers in Mumbai rely on intermittent funding cycles, making long-term projects difficult to sustain without external support from international bodies or industry partnerships.</w:t>
      </w:r>
    </w:p>
    <w:p>
      <w:pPr>
        <w:numPr>
          <w:ilvl w:val="0"/>
          <w:numId w:val="1001"/>
        </w:numPr>
        <w:pStyle w:val="Compact"/>
      </w:pPr>
      <w:r>
        <w:t xml:space="preserve">Infrastructure Maintenance:The rapid urbanization of Mumbai sometimes leads to power fluctuations and connectivity issues in older campus buildings. For experimental sciences, this can disrupt sensitive equipment and data integrity.</w:t>
      </w:r>
    </w:p>
    <w:p>
      <w:pPr>
        <w:numPr>
          <w:ilvl w:val="0"/>
          <w:numId w:val="1001"/>
        </w:numPr>
        <w:pStyle w:val="Compact"/>
      </w:pPr>
      <w:r>
        <w:rPr>
          <w:bCs/>
          <w:b/>
        </w:rPr>
        <w:t xml:space="preserve">Cost of Living vs. Academic Salaries:</w:t>
      </w:r>
      <w:r>
        <w:t xml:space="preserve">Mumbai is one of the most expensive cities in India. An</w:t>
      </w:r>
    </w:p>
    <w:p>
      <w:pPr>
        <w:numPr>
          <w:ilvl w:val="0"/>
          <w:numId w:val="1000"/>
        </w:numPr>
        <w:pStyle w:val="Compact"/>
      </w:pPr>
      <w:r>
        <w:t xml:space="preserve">. This economic pressure often forces researchers to take on excessive teaching loads or private consulting, detracting from dedicated research time.</w:t>
      </w:r>
    </w:p>
    <w:p>
      <w:pPr>
        <w:numPr>
          <w:ilvl w:val="0"/>
          <w:numId w:val="1001"/>
        </w:numPr>
        <w:pStyle w:val="Compact"/>
      </w:pPr>
      <w:r>
        <w:t xml:space="preserve">Bureaucratic Hurdles:Navigating government compliance for foreign collaboration or importing specialized equipment involves extensive paperwork. The delay in customs clearance and university approvals can stall projects for months.</w:t>
      </w:r>
    </w:p>
    <w:p>
      <w:pPr>
        <w:pStyle w:val="FirstParagraph"/>
      </w:pPr>
      <w:r>
        <w:t xml:space="preserve">.</w:t>
      </w:r>
    </w:p>
    <w:bookmarkEnd w:id="23"/>
    <w:bookmarkStart w:id="24" w:name="opportunities-and-strategic-advantages"/>
    <w:p>
      <w:pPr>
        <w:pStyle w:val="Heading2"/>
      </w:pPr>
      <w:r>
        <w:t xml:space="preserve">4. Opportunities and Strategic Advantages</w:t>
      </w:r>
    </w:p>
    <w:p>
      <w:pPr>
        <w:pStyle w:val="FirstParagraph"/>
      </w:pPr>
      <w:r>
        <w:t xml:space="preserve">Despite these challenges, the position of an</w:t>
      </w:r>
      <w:r>
        <w:t xml:space="preserve"> </w:t>
      </w:r>
      <w:r>
        <w:t xml:space="preserve">. Mumbai’s unique geography and demographic diversity offer unparalleled fieldwork opportunities. For sociologists, anthropologists, and economists, the city serves as a living laboratory for studying urbanization, migration patterns, economic inequality.</w:t>
      </w:r>
    </w:p>
    <w:p>
      <w:pPr>
        <w:pStyle w:val="BodyText"/>
      </w:pPr>
      <w:r>
        <w:rPr>
          <w:bCs/>
          <w:b/>
        </w:rPr>
        <w:t xml:space="preserve">A.</w:t>
      </w:r>
      <w:r>
        <w:t xml:space="preserve"> </w:t>
      </w:r>
      <w:r>
        <w:t xml:space="preserve">Interdisciplinary Collaboration: Mumbai hosts a vibrant community of scientists who often collaborate with artists and writers at institutions like the National Institute of Design or various literary festivals. This cross-pollination fosters innovative approaches to research problems.</w:t>
      </w:r>
      <w:r>
        <w:t xml:space="preserve"> </w:t>
      </w:r>
      <w:r>
        <w:rPr>
          <w:bCs/>
          <w:b/>
        </w:rPr>
        <w:t xml:space="preserve">B.</w:t>
      </w:r>
      <w:r>
        <w:t xml:space="preserve"> </w:t>
      </w:r>
      <w:r>
        <w:t xml:space="preserve">Industry-Academia Linkages: Being the financial hub, Mumbai has strong ties between academia and industry. Researchers in finance, management, and data science often find sponsored projects with banks, fintech startups located in areas like BKC (Bandra Kurla Complex). This synergy provides access to real-world datasets that are crucial for empirical validation.</w:t>
      </w:r>
    </w:p>
    <w:bookmarkEnd w:id="24"/>
    <w:bookmarkStart w:id="25" w:name="case-scenario-dr.-arun-mehta"/>
    <w:p>
      <w:pPr>
        <w:pStyle w:val="Heading2"/>
      </w:pPr>
      <w:r>
        <w:t xml:space="preserve">5. Case Scenario: Dr. Arun Mehta</w:t>
      </w:r>
    </w:p>
    <w:p>
      <w:pPr>
        <w:pStyle w:val="FirstParagraph"/>
      </w:pPr>
      <w:r>
        <w:t xml:space="preserve">.</w:t>
      </w:r>
      <w:r>
        <w:t xml:space="preserve"> </w:t>
      </w:r>
      <w:r>
        <w:t xml:space="preserve">To illustrate these dynamics, we examine the case of Dr. Arun Mehta, an</w:t>
      </w:r>
    </w:p>
    <w:p>
      <w:pPr>
        <w:pStyle w:val="BodyText"/>
      </w:pPr>
      <w:r>
        <w:t xml:space="preserve">. Dr. Mehta specializes in environmental engineering and works at a prominent university in South Mumbai.</w:t>
      </w:r>
    </w:p>
    <w:p>
      <w:pPr>
        <w:pStyle w:val="BodyText"/>
      </w:pPr>
      <w:r>
        <w:rPr>
          <w:bCs/>
          <w:b/>
        </w:rPr>
        <w:t xml:space="preserve">The Challenge:</w:t>
      </w:r>
      <w:r>
        <w:t xml:space="preserve"> </w:t>
      </w:r>
      <w:r>
        <w:t xml:space="preserve">His research focuses on mitigating water pollution in the Mahim Creek ecosystem. He secured initial funding from a state-level science council but needed additional resources for advanced water quality sensors.</w:t>
      </w:r>
    </w:p>
    <w:p>
      <w:pPr>
        <w:pStyle w:val="BodyText"/>
      </w:pPr>
      <w:r>
        <w:rPr>
          <w:bCs/>
          <w:b/>
        </w:rPr>
        <w:t xml:space="preserve">The Action Plan:</w:t>
      </w:r>
    </w:p>
    <w:p>
      <w:pPr>
        <w:pStyle w:val="BodyText"/>
      </w:pPr>
      <w:r>
        <w:t xml:space="preserve">.</w:t>
      </w:r>
    </w:p>
    <w:p>
      <w:pPr>
        <w:numPr>
          <w:ilvl w:val="0"/>
          <w:numId w:val="1002"/>
        </w:numPr>
        <w:pStyle w:val="Compact"/>
      </w:pPr>
      <w:r>
        <w:rPr>
          <w:bCs/>
          <w:b/>
        </w:rPr>
        <w:t xml:space="preserve">Navigating Bureaucracy:</w:t>
      </w:r>
      <w:r>
        <w:t xml:space="preserve"> </w:t>
      </w:r>
      <w:r>
        <w:t xml:space="preserve">Dr. Mehta worked closely with his university’s research cell to expedite the import process for specialized equipment, highlighting the urgency of climate-related data collection.</w:t>
      </w:r>
    </w:p>
    <w:p>
      <w:pPr>
        <w:numPr>
          <w:ilvl w:val="0"/>
          <w:numId w:val="1002"/>
        </w:numPr>
        <w:pStyle w:val="Compact"/>
      </w:pPr>
      <w:r>
        <w:t xml:space="preserve">Leveraging Local Networks:To overcome infrastructure issues during power outages, he partnered with a nearby NGO that had solar-powered facilities, allowing his team to conduct night-time sampling continuously.</w:t>
      </w:r>
    </w:p>
    <w:p>
      <w:pPr>
        <w:numPr>
          <w:ilvl w:val="0"/>
          <w:numId w:val="1002"/>
        </w:numPr>
        <w:pStyle w:val="Compact"/>
      </w:pPr>
      <w:r>
        <w:t xml:space="preserve">Securing Sustainable Funding:</w:t>
      </w:r>
    </w:p>
    <w:p>
      <w:pPr>
        <w:pStyle w:val="FirstParagraph"/>
      </w:pPr>
      <w:r>
        <w:t xml:space="preserve">.</w:t>
      </w:r>
      <w:r>
        <w:t xml:space="preserve"> </w:t>
      </w:r>
      <w:r>
        <w:rPr>
          <w:bCs/>
          <w:b/>
        </w:rPr>
        <w:t xml:space="preserve">The Outcome:</w:t>
      </w:r>
      <w:r>
        <w:t xml:space="preserve"> </w:t>
      </w:r>
      <w:r>
        <w:t xml:space="preserve">Dr. Mehta’s team published three high-impact papers in international journals and successfully advocated for stricter wastewater disposal regulations enforced by the Brihanmumbai Municipal Corporation (BMC). His case demonstrates how resilience and strategic networking can mitigate the typical constraints faced by an</w:t>
      </w:r>
      <w:r>
        <w:t xml:space="preserve"> </w:t>
      </w:r>
      <w:r>
        <w:rPr>
          <w:bCs/>
          <w:b/>
        </w:rPr>
        <w:t xml:space="preserve">.</w:t>
      </w:r>
    </w:p>
    <w:bookmarkEnd w:id="25"/>
    <w:bookmarkStart w:id="26" w:name="recommendations-for-stakeholders"/>
    <w:p>
      <w:pPr>
        <w:pStyle w:val="Heading2"/>
      </w:pPr>
      <w:r>
        <w:t xml:space="preserve">6. Recommendations for Stakeholders</w:t>
      </w:r>
    </w:p>
    <w:p>
      <w:pPr>
        <w:pStyle w:val="FirstParagraph"/>
      </w:pPr>
      <w:r>
        <w:t xml:space="preserve">Based on this analysis, several recommendations are proposed to enhance the productivity and well-being of Academic Researchers in India, Mumbai:</w:t>
      </w:r>
    </w:p>
    <w:p>
      <w:pPr>
        <w:pStyle w:val="BodyText"/>
      </w:pPr>
      <w:r>
        <w:rPr>
          <w:bCs/>
          <w:b/>
        </w:rPr>
        <w:t xml:space="preserve">Infrastructure Investment:</w:t>
      </w:r>
      <w:r>
        <w:t xml:space="preserve">Municipal and university authorities must prioritize reliable power backups and high-speed internet access within campus zones to support uninterrupted research activities.</w:t>
      </w:r>
    </w:p>
    <w:p>
      <w:pPr>
        <w:pStyle w:val="BodyText"/>
      </w:pPr>
      <w:r>
        <w:t xml:space="preserve">Simplified Grant Disbursement:A streamlined digital system for tracking grant utilization can reduce bureaucratic delays, allowing researchers to focus on inquiry rather than administration.</w:t>
      </w:r>
    </w:p>
    <w:p>
      <w:pPr>
        <w:pStyle w:val="BodyText"/>
      </w:pPr>
      <w:r>
        <w:t xml:space="preserve">Housing Support:To address the cost-of-living crisis, universities should consider providing subsidized housing or relocation allowances for faculty members, ensuring financial stability does not compromise research quality.</w:t>
      </w:r>
    </w:p>
    <w:p>
      <w:pPr>
        <w:pStyle w:val="BodyText"/>
      </w:pPr>
      <w:r>
        <w:t xml:space="preserve">Enhanced Industry Partnerships:A formalized "Mumbai Research Corridor" could be established to facilitate easier data sharing and collaborative projects between universities and the city’s vast industrial sector.</w:t>
      </w:r>
    </w:p>
    <w:p>
      <w:pPr>
        <w:pStyle w:val="BodyText"/>
      </w:pPr>
      <w:r>
        <w:t xml:space="preserve">.</w:t>
      </w:r>
    </w:p>
    <w:bookmarkEnd w:id="26"/>
    <w:bookmarkStart w:id="27" w:name="conclusion"/>
    <w:p>
      <w:pPr>
        <w:pStyle w:val="Heading2"/>
      </w:pPr>
      <w:r>
        <w:t xml:space="preserve">7. Conclusion</w:t>
      </w:r>
    </w:p>
    <w:p>
      <w:pPr>
        <w:pStyle w:val="FirstParagraph"/>
      </w:pPr>
      <w:r>
        <w:t xml:space="preserve">.</w:t>
      </w:r>
      <w:r>
        <w:t xml:space="preserve"> </w:t>
      </w:r>
      <w:r>
        <w:t xml:space="preserve">The journey of an</w:t>
      </w:r>
      <w:r>
        <w:t xml:space="preserve"> </w:t>
      </w:r>
      <w:r>
        <w:t xml:space="preserve"> </w:t>
      </w:r>
      <w:r>
        <w:t xml:space="preserve">is complex, marked by significant institutional support but also substantial logistical and financial pressures. Mumbai, with its vibrant energy and historical significance as a center of learning in India, offers a unique backdrop for scholarly work. By addressing the systemic challenges through targeted policy interventions and leveraging the city’s inherent strengths in collaboration and industry linkage, stakeholders can create an environment where academic research thrives. The success story of researchers like Dr. Mehta serves as a blueprint for future endeavors, highlighting that with strategic adaptation, the</w:t>
      </w:r>
    </w:p>
    <w:p>
      <w:pPr>
        <w:pStyle w:val="BodyText"/>
      </w:pPr>
      <w:r>
        <w:t xml:space="preserve">can continue to drive meaningful change in India and beyond.</w:t>
      </w:r>
    </w:p>
    <w:p>
      <w:pPr>
        <w:pStyle w:val="BodyText"/>
      </w:pPr>
      <w:r>
        <w:t xml:space="preserv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India, Mumbai</dc:title>
  <dc:creator/>
  <cp:keywords/>
  <dcterms:created xsi:type="dcterms:W3CDTF">2026-07-29T07:38:00Z</dcterms:created>
  <dcterms:modified xsi:type="dcterms:W3CDTF">2026-07-29T07:38:00Z</dcterms:modified>
</cp:coreProperties>
</file>

<file path=docProps/custom.xml><?xml version="1.0" encoding="utf-8"?>
<Properties xmlns="http://schemas.openxmlformats.org/officeDocument/2006/custom-properties" xmlns:vt="http://schemas.openxmlformats.org/officeDocument/2006/docPropsVTypes"/>
</file>