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Academic</w:t>
      </w:r>
      <w:r>
        <w:t xml:space="preserve"> </w:t>
      </w:r>
      <w:r>
        <w:t xml:space="preserve">Landscape</w:t>
      </w:r>
      <w:r>
        <w:t xml:space="preserve"> </w:t>
      </w:r>
      <w:r>
        <w:t xml:space="preserve">for</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6" w:name="X4d92594b494d8da851e3412ef1f704cae47774a"/>
    <w:p>
      <w:pPr>
        <w:pStyle w:val="Heading1"/>
      </w:pPr>
      <w:r>
        <w:t xml:space="preserve">Case Study: Navigating the Academic Landscape for an Academic Researcher in Netherlands Amsterdam</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Demographic Focus:</w:t>
      </w:r>
    </w:p>
    <w:bookmarkStart w:id="20" w:name="introduction-and-context"/>
    <w:p>
      <w:pPr>
        <w:pStyle w:val="Heading2"/>
      </w:pPr>
      <w:r>
        <w:t xml:space="preserve">1. Introduction and Context</w:t>
      </w:r>
    </w:p>
    <w:p>
      <w:pPr>
        <w:pStyle w:val="FirstParagraph"/>
      </w:pPr>
      <w:r>
        <w:t xml:space="preserve">The Netherlands Amsterdam has long been established as a global hub for innovation, science, and higher education. At the heart of this ecosystem lie two prestigious institutions: the University of Amsterdam (UvA) and Vrije Universiteit Amsterdam (VU). For an</w:t>
      </w:r>
      <w:r>
        <w:t xml:space="preserve"> </w:t>
      </w:r>
      <w:r>
        <w:rPr>
          <w:bCs/>
          <w:b/>
        </w:rPr>
        <w:t xml:space="preserve">Academic Researcher</w:t>
      </w:r>
      <w:r>
        <w:t xml:space="preserve">, moving to this specific geographic and institutional context offers unparalleled opportunities for collaboration, funding, and prestige. However, it also presents a unique set of challenges regarding integration, regulatory compliance with Dutch labor laws (such as the 30% tax ruling), and cultural adaptation within a highly competitive academic environment.</w:t>
      </w:r>
    </w:p>
    <w:p>
      <w:pPr>
        <w:pStyle w:val="BodyText"/>
      </w:pPr>
      <w:r>
        <w:t xml:space="preserve">This case study examines the journey of Dr. Elena Rossi (a pseudonym), an Italian post-doctoral</w:t>
      </w:r>
      <w:r>
        <w:t xml:space="preserve"> </w:t>
      </w:r>
      <w:r>
        <w:rPr>
          <w:bCs/>
          <w:b/>
        </w:rPr>
        <w:t xml:space="preserve">Academic Researcher</w:t>
      </w:r>
      <w:r>
        <w:t xml:space="preserve"> </w:t>
      </w:r>
      <w:r>
        <w:t xml:space="preserve">specializing in Computational Linguistics, who relocated to</w:t>
      </w:r>
      <w:r>
        <w:t xml:space="preserve"> </w:t>
      </w:r>
      <w:r>
        <w:rPr>
          <w:bCs/>
          <w:b/>
        </w:rPr>
        <w:t xml:space="preserve">Netherlands Amsterdam</w:t>
      </w:r>
      <w:r>
        <w:t xml:space="preserve"> </w:t>
      </w:r>
      <w:r>
        <w:t xml:space="preserve">three years ago. The objective is to analyze the structural, cultural, and professional factors that influenced her success and identify key takeaways for future researchers aiming to establish themselves in this vibrant Dutch capital.</w:t>
      </w:r>
    </w:p>
    <w:bookmarkEnd w:id="20"/>
    <w:bookmarkStart w:id="21" w:name="X0a3a6560015afea585cbf0a0751471ab8acc894"/>
    <w:p>
      <w:pPr>
        <w:pStyle w:val="Heading2"/>
      </w:pPr>
      <w:r>
        <w:t xml:space="preserve">2. Professional Objectives and Institutional Fit</w:t>
      </w:r>
    </w:p>
    <w:p>
      <w:pPr>
        <w:pStyle w:val="FirstParagraph"/>
      </w:pPr>
      <w:r>
        <w:t xml:space="preserve">Dr. Rossi’s primary objective was to secure a position within a Top 100 global university that offered robust interdisciplinary collaboration opportunities. Her choice of</w:t>
      </w:r>
      <w:r>
        <w:t xml:space="preserve"> </w:t>
      </w:r>
      <w:r>
        <w:rPr>
          <w:bCs/>
          <w:b/>
        </w:rPr>
        <w:t xml:space="preserve">Netherlands Amsterdam</w:t>
      </w:r>
      <w:r>
        <w:t xml:space="preserve"> </w:t>
      </w:r>
      <w:r>
        <w:t xml:space="preserve">was driven by the presence of the Amsterdam AI Lab and the vibrant tech ecosystem surrounding Silicon Valley North.</w:t>
      </w:r>
    </w:p>
    <w:p>
      <w:pPr>
        <w:pStyle w:val="BodyText"/>
      </w:pPr>
      <w:r>
        <w:rPr>
          <w:bCs/>
          <w:b/>
        </w:rPr>
        <w:t xml:space="preserve">Challenge:</w:t>
      </w:r>
      <w:r>
        <w:t xml:space="preserve">Netherlands Amsterdam is exceptionally competitive. Positions are often project-based with fixed-term contracts, creating a sense of instability for early-career researchers. Furthermore, the hiring process involves rigorous peer reviews and teaching demonstrations that differ significantly from the interview processes in Southern Europe.</w:t>
      </w:r>
    </w:p>
    <w:p>
      <w:pPr>
        <w:pStyle w:val="BodyText"/>
      </w:pPr>
      <w:r>
        <w:rPr>
          <w:bCs/>
          <w:b/>
        </w:rPr>
        <w:t xml:space="preserve">Solution:</w:t>
      </w:r>
    </w:p>
    <w:bookmarkEnd w:id="21"/>
    <w:bookmarkStart w:id="22" w:name="X39053b1c9756482a4111be13b560d1b9e097070"/>
    <w:p>
      <w:pPr>
        <w:pStyle w:val="Heading2"/>
      </w:pPr>
      <w:r>
        <w:t xml:space="preserve">2. Navigating Regulatory and Financial Frameworks</w:t>
      </w:r>
    </w:p>
    <w:p>
      <w:pPr>
        <w:pStyle w:val="FirstParagraph"/>
      </w:pPr>
      <w:r>
        <w:t xml:space="preserve">A critical aspect of relocating as an international</w:t>
      </w:r>
      <w:r>
        <w:t xml:space="preserve"> </w:t>
      </w:r>
      <w:r>
        <w:rPr>
          <w:bCs/>
          <w:b/>
        </w:rPr>
        <w:t xml:space="preserve">Academic Researcher</w:t>
      </w:r>
      <w:r>
        <w:t xml:space="preserve"> </w:t>
      </w:r>
      <w:r>
        <w:t xml:space="preserve">to the Netherlands is understanding the complex tax and immigration frameworks. The "30% Ruling," which allows eligible expatriates to receive 30% of their gross salary tax-free for five years, was a significant factor in Dr. Rossi’s decision-making process.</w:t>
      </w:r>
    </w:p>
    <w:p>
      <w:pPr>
        <w:pStyle w:val="BodyText"/>
      </w:pPr>
      <w:r>
        <w:rPr>
          <w:bCs/>
          <w:b/>
        </w:rPr>
        <w:t xml:space="preserve">Challenge:</w:t>
      </w:r>
      <w:r>
        <w:t xml:space="preserve"> </w:t>
      </w:r>
      <w:r>
        <w:t xml:space="preserve">Applying for the 30% ruling requires meeting specific salary thresholds and demonstrating that the recruitment is necessary due to scarce expertise. Additionally, navigating the IND (Immigration and Naturalisation Service) requirements for residence permits can be bureaucratic and time-consuming.</w:t>
      </w:r>
    </w:p>
    <w:p>
      <w:pPr>
        <w:pStyle w:val="BodyText"/>
      </w:pPr>
      <w:r>
        <w:rPr>
          <w:bCs/>
          <w:b/>
        </w:rPr>
        <w:t xml:space="preserve">Solution:</w:t>
      </w:r>
      <w:r>
        <w:t xml:space="preserve"> </w:t>
      </w:r>
      <w:r>
        <w:t xml:space="preserve">The Human Resources department at her institution played a pivotal role. However, Dr. Rossi had to proactively gather extensive documentation regarding her prior employment abroad to prove she did not reside in the Netherlands for more than nine months in the preceding twenty-four months. This administrative diligence ensured that her financial transition was smooth, allowing her to focus on research rather than bureaucratic hurdles.</w:t>
      </w:r>
    </w:p>
    <w:bookmarkEnd w:id="22"/>
    <w:bookmarkStart w:id="23" w:name="X31e93d2e83ed1a2133105ccc41cf940a6f38650"/>
    <w:p>
      <w:pPr>
        <w:pStyle w:val="Heading2"/>
      </w:pPr>
      <w:r>
        <w:t xml:space="preserve">4. Cultural Integration and Academic Culture</w:t>
      </w:r>
    </w:p>
    <w:p>
      <w:pPr>
        <w:pStyle w:val="FirstParagraph"/>
      </w:pPr>
      <w:r>
        <w:t xml:space="preserve">The academic culture in</w:t>
      </w:r>
      <w:r>
        <w:t xml:space="preserve"> </w:t>
      </w:r>
      <w:r>
        <w:rPr>
          <w:bCs/>
          <w:b/>
        </w:rPr>
        <w:t xml:space="preserve">Netherlands Amsterdam</w:t>
      </w:r>
      <w:r>
        <w:t xml:space="preserve"> </w:t>
      </w:r>
      <w:r>
        <w:t xml:space="preserve">is characterized by flat hierarchies, direct communication styles, and a strong emphasis on work-life balance. This contrasts sharply with more hierarchical academic structures found in other European countries.</w:t>
      </w:r>
    </w:p>
    <w:p>
      <w:pPr>
        <w:pStyle w:val="BodyText"/>
      </w:pPr>
      <w:r>
        <w:rPr>
          <w:bCs/>
          <w:b/>
        </w:rPr>
        <w:t xml:space="preserve">Cultural Friction:</w:t>
      </w:r>
      <w:r>
        <w:t xml:space="preserve"> </w:t>
      </w:r>
      <w:r>
        <w:t xml:space="preserve">Initially, Dr. Rossi struggled with the directness of her colleagues and supervisors in Dutch academia. In many Mediterranean cultures, feedback is often delivered with significant softening to maintain harmony; however, in the Netherlands, critical feedback is viewed as constructive and efficient. Additionally, the expectation to participate in social events outside of working hours was initially unfamiliar.</w:t>
      </w:r>
    </w:p>
    <w:p>
      <w:pPr>
        <w:pStyle w:val="BodyText"/>
      </w:pPr>
      <w:r>
        <w:rPr>
          <w:bCs/>
          <w:b/>
        </w:rPr>
        <w:t xml:space="preserve">Adaptation Strategy:</w:t>
      </w:r>
      <w:r>
        <w:t xml:space="preserve"> </w:t>
      </w:r>
      <w:r>
        <w:t xml:space="preserve">To bridge this cultural gap, Dr. Rossi engaged with local expatriate communities and professional networks specifically designed for academics in Amsterdam. She attended "Kantine" (staff cafeteria) discussions, which are informal hubs for interdisciplinary exchange in Dutch universities. Over time, she adapted her communication style to be more direct and learned to appreciate the transparency inherent in the Dutch academic culture.</w:t>
      </w:r>
    </w:p>
    <w:bookmarkEnd w:id="23"/>
    <w:bookmarkStart w:id="24" w:name="research-output-and-funding-acquisition"/>
    <w:p>
      <w:pPr>
        <w:pStyle w:val="Heading2"/>
      </w:pPr>
      <w:r>
        <w:t xml:space="preserve">5. Research Output and Funding Acquisition</w:t>
      </w:r>
    </w:p>
    <w:p>
      <w:pPr>
        <w:pStyle w:val="FirstParagraph"/>
      </w:pPr>
      <w:r>
        <w:t xml:space="preserve">In</w:t>
      </w:r>
      <w:r>
        <w:t xml:space="preserve"> </w:t>
      </w:r>
      <w:r>
        <w:rPr>
          <w:bCs/>
          <w:b/>
        </w:rPr>
        <w:t xml:space="preserve">Netherlands Amsterdam</w:t>
      </w:r>
      <w:r>
        <w:t xml:space="preserve">, researchers are expected to secure external funding alongside their teaching duties. The landscape includes prestigious bodies such as the Dutch Research Council (NWO) and various EU Horizon Europe programs.</w:t>
      </w:r>
    </w:p>
    <w:p>
      <w:pPr>
        <w:pStyle w:val="BodyText"/>
      </w:pPr>
      <w:r>
        <w:rPr>
          <w:bCs/>
          <w:b/>
        </w:rPr>
        <w:t xml:space="preserve">Challenge:</w:t>
      </w:r>
      <w:r>
        <w:t xml:space="preserve"> </w:t>
      </w:r>
      <w:r>
        <w:t xml:space="preserve">Securing NWO grants requires a deep understanding of national research priorities, which can shift rapidly based on political and societal needs in the Netherlands.</w:t>
      </w:r>
    </w:p>
    <w:p>
      <w:pPr>
        <w:pStyle w:val="BodyText"/>
      </w:pPr>
      <w:r>
        <w:rPr>
          <w:bCs/>
          <w:b/>
        </w:rPr>
        <w:t xml:space="preserve">Solution:</w:t>
      </w:r>
      <w:r>
        <w:t xml:space="preserve"> </w:t>
      </w:r>
      <w:r>
        <w:t xml:space="preserve">Dr. Rossi collaborated with senior colleagues to co-apply for larger consortium grants. This approach not only increased her chances of success but also facilitated deeper integration into the local research community. She successfully secured a Veni grant from NWO, which is specifically designed for talented young researchers who have already demonstrated independence and ambition.</w:t>
      </w:r>
    </w:p>
    <w:bookmarkEnd w:id="24"/>
    <w:bookmarkStart w:id="25" w:name="conclusion-and-recommendations"/>
    <w:p>
      <w:pPr>
        <w:pStyle w:val="Heading2"/>
      </w:pPr>
      <w:r>
        <w:t xml:space="preserve">6. Conclusion and Recommendations</w:t>
      </w:r>
    </w:p>
    <w:p>
      <w:pPr>
        <w:pStyle w:val="FirstParagraph"/>
      </w:pPr>
      <w:r>
        <w:t xml:space="preserve">The case of Dr. Rossi highlights that becoming an</w:t>
      </w:r>
      <w:r>
        <w:t xml:space="preserve"> </w:t>
      </w:r>
      <w:r>
        <w:rPr>
          <w:bCs/>
          <w:b/>
        </w:rPr>
        <w:t xml:space="preserve">Academic Researcher</w:t>
      </w:r>
      <w:r>
        <w:t xml:space="preserve"> </w:t>
      </w:r>
      <w:r>
        <w:t xml:space="preserve">in</w:t>
      </w:r>
      <w:r>
        <w:t xml:space="preserve"> </w:t>
      </w:r>
      <w:r>
        <w:rPr>
          <w:bCs/>
          <w:b/>
        </w:rPr>
        <w:t xml:space="preserve">Netherlands Amsterdam</w:t>
      </w:r>
      <w:r>
        <w:t xml:space="preserve"> </w:t>
      </w:r>
      <w:r>
        <w:t xml:space="preserve">requires more than just scientific excellence. It demands strategic navigation of regulatory frameworks, cultural adaptation to a flat and direct academic hierarchy, and proactive engagement with funding opportunities.</w:t>
      </w:r>
    </w:p>
    <w:p>
      <w:pPr>
        <w:numPr>
          <w:ilvl w:val="0"/>
          <w:numId w:val="1001"/>
        </w:numPr>
        <w:pStyle w:val="Compact"/>
      </w:pPr>
      <w:r>
        <w:rPr>
          <w:bCs/>
          <w:b/>
        </w:rPr>
        <w:t xml:space="preserve">Leverage Institutional Support:</w:t>
      </w:r>
      <w:r>
        <w:t xml:space="preserve"> </w:t>
      </w:r>
      <w:r>
        <w:t xml:space="preserve">Utilize the robust HR services provided by universities in Amsterdam for visa and tax matters.</w:t>
      </w:r>
    </w:p>
    <w:p>
      <w:pPr>
        <w:numPr>
          <w:ilvl w:val="0"/>
          <w:numId w:val="1001"/>
        </w:numPr>
        <w:pStyle w:val="Compact"/>
      </w:pPr>
      <w:r>
        <w:rPr>
          <w:iCs/>
          <w:i/>
        </w:rPr>
        <w:t xml:space="preserve">Cultural Agility:</w:t>
      </w:r>
      <w:r>
        <w:t xml:space="preserve"> </w:t>
      </w:r>
      <w:r>
        <w:t xml:space="preserve">Embrace direct communication and participate in informal academic social structures to build networks.</w:t>
      </w:r>
    </w:p>
    <w:p>
      <w:pPr>
        <w:numPr>
          <w:ilvl w:val="0"/>
          <w:numId w:val="1001"/>
        </w:numPr>
        <w:pStyle w:val="Compact"/>
      </w:pPr>
      <w:r>
        <w:rPr>
          <w:bCs/>
          <w:b/>
        </w:rPr>
        <w:t xml:space="preserve">Funding Diversity:</w:t>
      </w:r>
      <w:r>
        <w:t xml:space="preserve">: Do not rely solely on institutional salary; actively pursue NWO and EU grants to ensure research continuity.</w:t>
      </w:r>
    </w:p>
    <w:p>
      <w:pPr>
        <w:numPr>
          <w:ilvl w:val="0"/>
          <w:numId w:val="1001"/>
        </w:numPr>
        <w:pStyle w:val="Compact"/>
      </w:pPr>
      <w:r>
        <w:rPr>
          <w:bCs/>
          <w:b/>
        </w:rPr>
        <w:t xml:space="preserve">Lifestyle Balance:</w:t>
      </w:r>
      <w:r>
        <w:t xml:space="preserve">: The Dutch emphasis on work-life balance is a genuine benefit; utilizing this structure can prevent burnout in high-pressure academic environments.</w:t>
      </w:r>
    </w:p>
    <w:p>
      <w:pPr>
        <w:pStyle w:val="FirstParagraph"/>
      </w:pPr>
      <w:r>
        <w:t xml:space="preserve">In conclusion, while the path for an</w:t>
      </w:r>
      <w:r>
        <w:t xml:space="preserve"> </w:t>
      </w:r>
      <w:r>
        <w:rPr>
          <w:bCs/>
          <w:b/>
        </w:rPr>
        <w:t xml:space="preserve">Academic Researcher</w:t>
      </w:r>
      <w:r>
        <w:t xml:space="preserve"> </w:t>
      </w:r>
      <w:r>
        <w:t xml:space="preserve">in</w:t>
      </w:r>
      <w:r>
        <w:t xml:space="preserve"> </w:t>
      </w:r>
      <w:r>
        <w:rPr>
          <w:bCs/>
          <w:b/>
        </w:rPr>
        <w:t xml:space="preserve">Netherlands Amsterdam</w:t>
      </w:r>
      <w:r>
        <w:t xml:space="preserve"> </w:t>
      </w:r>
      <w:r>
        <w:t xml:space="preserve">is challenging, the combination of world-class infrastructure, international openness, and supportive regulatory frameworks makes it one of the most attractive destinations for global talent. Success hinges on a holistic approach that balances professional ambition with cultural intelligence.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Academic Landscape for an Academic Researcher in Netherlands Amsterdam</dc:title>
  <dc:creator/>
  <cp:keywords/>
  <dcterms:created xsi:type="dcterms:W3CDTF">2026-07-29T06:32:02Z</dcterms:created>
  <dcterms:modified xsi:type="dcterms:W3CDTF">2026-07-29T06:32:02Z</dcterms:modified>
</cp:coreProperties>
</file>

<file path=docProps/custom.xml><?xml version="1.0" encoding="utf-8"?>
<Properties xmlns="http://schemas.openxmlformats.org/officeDocument/2006/custom-properties" xmlns:vt="http://schemas.openxmlformats.org/officeDocument/2006/docPropsVTypes"/>
</file>