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9" w:name="X91679d557d7cca2fe2350f525a97fdc82dae568"/>
    <w:p>
      <w:pPr>
        <w:pStyle w:val="Heading1"/>
      </w:pPr>
      <w:r>
        <w:t xml:space="preserve">Case Study: The Role and Impact of an Academic Researcher in New Zealand Wellington</w:t>
      </w:r>
    </w:p>
    <w:p>
      <w:pPr>
        <w:pStyle w:val="FirstParagraph"/>
      </w:pPr>
      <w:r>
        <w:rPr>
          <w:bCs/>
          <w:b/>
        </w:rPr>
        <w:t xml:space="preserve">Date:</w:t>
      </w:r>
      <w:r>
        <w:t xml:space="preserve"> </w:t>
      </w:r>
      <w:r>
        <w:t xml:space="preserve">October 2023</w:t>
      </w:r>
      <w:r>
        <w:br/>
      </w:r>
      <w:r>
        <w:rPr>
          <w:bCs/>
          <w:b/>
        </w:rPr>
        <w:t xml:space="preserve">Locus:</w:t>
      </w:r>
      <w:r>
        <w:t xml:space="preserve">New Zealand Wellington</w:t>
      </w:r>
      <w:r>
        <w:br/>
      </w:r>
      <w:r>
        <w:rPr>
          <w:bCs/>
          <w:b/>
        </w:rPr>
        <w:t xml:space="preserve">Focal Subject: Academic Researcher</w:t>
      </w:r>
      <w:r>
        <w:br/>
      </w:r>
    </w:p>
    <w:bookmarkStart w:id="20" w:name="introduction"/>
    <w:p>
      <w:pPr>
        <w:pStyle w:val="Heading2"/>
      </w:pPr>
      <w:r>
        <w:t xml:space="preserve">1. Introduction to the Context</w:t>
      </w:r>
    </w:p>
    <w:p>
      <w:pPr>
        <w:pStyle w:val="FirstParagraph"/>
      </w:pPr>
      <w:r>
        <w:t xml:space="preserve">In the vibrant intellectual landscape of New Zealand, Wellington stands as a premier hub for higher education and scientific inquiry. As the capital city, it hosts some of the nation's most prestigious institutions, including Victoria University of Wellington and Massey University’s city campus. This case study examines the multifaceted role of an</w:t>
      </w:r>
      <w:r>
        <w:t xml:space="preserve"> </w:t>
      </w:r>
      <w:r>
        <w:rPr>
          <w:bCs/>
          <w:b/>
        </w:rPr>
        <w:t xml:space="preserve">Academic Researcher</w:t>
      </w:r>
      <w:r>
        <w:t xml:space="preserve"> </w:t>
      </w:r>
      <w:r>
        <w:t xml:space="preserve">within this specific geographical and institutional framework. The position is not merely one of isolated scholarship but serves as a critical node in a broader ecosystem that bridges public policy, private industry, and international scientific collaboration. By focusing on Wellington’s unique socio-political environment, we can better understand how an</w:t>
      </w:r>
      <w:r>
        <w:t xml:space="preserve"> </w:t>
      </w:r>
      <w:r>
        <w:rPr>
          <w:bCs/>
          <w:b/>
        </w:rPr>
        <w:t xml:space="preserve">Academic Researcher</w:t>
      </w:r>
      <w:r>
        <w:t xml:space="preserve"> </w:t>
      </w:r>
      <w:r>
        <w:t xml:space="preserve">contributes to national development while navigating the specific challenges and opportunities present in New Zealand’s capital.</w:t>
      </w:r>
    </w:p>
    <w:bookmarkEnd w:id="20"/>
    <w:bookmarkStart w:id="21" w:name="role-definition"/>
    <w:p>
      <w:pPr>
        <w:pStyle w:val="Heading2"/>
      </w:pPr>
      <w:r>
        <w:t xml:space="preserve">2. Defining the Role of the Academic Researcher</w:t>
      </w:r>
    </w:p>
    <w:p>
      <w:pPr>
        <w:pStyle w:val="FirstParagraph"/>
      </w:pPr>
      <w:r>
        <w:t xml:space="preserve">The title of</w:t>
      </w:r>
      <w:r>
        <w:t xml:space="preserve"> </w:t>
      </w:r>
      <w:r>
        <w:rPr>
          <w:bCs/>
          <w:b/>
        </w:rPr>
        <w:t xml:space="preserve">Academic Researcher</w:t>
      </w:r>
      <w:r>
        <w:t xml:space="preserve"> </w:t>
      </w:r>
      <w:r>
        <w:t xml:space="preserve">carries distinct responsibilities that extend beyond traditional teaching duties. In Wellington, where the intersection of government policy and academia is particularly tight, an</w:t>
      </w:r>
      <w:r>
        <w:t xml:space="preserve"> </w:t>
      </w:r>
      <w:r>
        <w:rPr>
          <w:bCs/>
          <w:b/>
        </w:rPr>
        <w:t xml:space="preserve">Academic Researcher</w:t>
      </w:r>
      <w:r>
        <w:t xml:space="preserve">, is often expected to engage in translational research. This means taking theoretical frameworks and translating them into actionable insights for stakeholders ranging from local councils to national ministries.</w:t>
      </w:r>
    </w:p>
    <w:p>
      <w:pPr>
        <w:pStyle w:val="BodyText"/>
      </w:pPr>
      <w:r>
        <w:t xml:space="preserve">Specifically, the role involves:</w:t>
      </w:r>
    </w:p>
    <w:p>
      <w:pPr>
        <w:numPr>
          <w:ilvl w:val="0"/>
          <w:numId w:val="1001"/>
        </w:numPr>
        <w:pStyle w:val="Compact"/>
      </w:pPr>
      <w:r>
        <w:rPr>
          <w:bCs/>
          <w:b/>
        </w:rPr>
        <w:t xml:space="preserve">Securing Funding:</w:t>
      </w:r>
      <w:r>
        <w:t xml:space="preserve">A significant portion of an academic researcher’s time is dedicated to writing grants. In New Zealand, this often involves competitive bidding for funds from the Marsden Fund or collaborative partnerships with international bodies such as Horizon Europe.</w:t>
      </w:r>
    </w:p>
    <w:p>
      <w:pPr>
        <w:numPr>
          <w:ilvl w:val="0"/>
          <w:numId w:val="1001"/>
        </w:numPr>
        <w:pStyle w:val="Compact"/>
      </w:pPr>
      <w:r>
        <w:rPr>
          <w:bCs/>
          <w:b/>
        </w:rPr>
        <w:t xml:space="preserve">Publishing and Dissemination:</w:t>
      </w:r>
      <w:r>
        <w:t xml:space="preserve"> </w:t>
      </w:r>
      <w:r>
        <w:t xml:space="preserve">Maintaining a high-impact publication record in peer-reviewed journals is essential for tenure and professional reputation. For an</w:t>
      </w:r>
      <w:r>
        <w:t xml:space="preserve"> </w:t>
      </w:r>
      <w:r>
        <w:rPr>
          <w:bCs/>
          <w:b/>
        </w:rPr>
        <w:t xml:space="preserve">Academic Researcher</w:t>
      </w:r>
      <w:r>
        <w:t xml:space="preserve">, this involves rigorous data analysis and adherence to ethical standards mandated by New Zealand’s Health Research Council.</w:t>
      </w:r>
    </w:p>
    <w:p>
      <w:pPr>
        <w:numPr>
          <w:ilvl w:val="0"/>
          <w:numId w:val="1001"/>
        </w:numPr>
        <w:pStyle w:val="Compact"/>
      </w:pPr>
      <w:r>
        <w:rPr>
          <w:bCs/>
          <w:b/>
        </w:rPr>
        <w:t xml:space="preserve">Community Engagement:</w:t>
      </w:r>
      <w:r>
        <w:t xml:space="preserve">In Wellington, there is a strong emphasis on engagement with local communities, particularly regarding environmental sustainability and Māori knowledge systems (Mātauranga Māori). An effective academic researcher must navigate these cultural nuances with respect and accuracy.</w:t>
      </w:r>
    </w:p>
    <w:bookmarkEnd w:id="21"/>
    <w:bookmarkStart w:id="22" w:name="wellington-context"/>
    <w:p>
      <w:pPr>
        <w:pStyle w:val="Heading2"/>
      </w:pPr>
      <w:r>
        <w:t xml:space="preserve">3. The Strategic Importance of New Zealand Wellington</w:t>
      </w:r>
    </w:p>
    <w:p>
      <w:pPr>
        <w:pStyle w:val="FirstParagraph"/>
      </w:pPr>
      <w:r>
        <w:t xml:space="preserve">New Zealand Wellington is not just a backdrop; it is an active participant in the research lifecycle. As the political center of NewZealand, Wellington provides unique access to policymakers. For an</w:t>
      </w:r>
      <w:r>
        <w:t xml:space="preserve"> </w:t>
      </w:r>
      <w:r>
        <w:rPr>
          <w:bCs/>
          <w:b/>
        </w:rPr>
        <w:t xml:space="preserve">Academic Researcher</w:t>
      </w:r>
      <w:r>
        <w:t xml:space="preserve">, this proximity allows for immediate feedback loops between theory and practice. Unlike researchers in more remote regions, those based in Wellington can attend parliamentary hearings, consult with ministry officials on a weekly basis, and influence the legislative agenda directly through evidence-based recommendations.</w:t>
      </w:r>
    </w:p>
    <w:p>
      <w:pPr>
        <w:pStyle w:val="BodyText"/>
      </w:pPr>
      <w:r>
        <w:t xml:space="preserve">Furthermore, Wellington’s economy is heavily skewed towards technology, creative industries, and government services. This creates a fertile ground for interdisciplinary research. An</w:t>
      </w:r>
      <w:r>
        <w:t xml:space="preserve"> </w:t>
      </w:r>
      <w:r>
        <w:rPr>
          <w:bCs/>
          <w:b/>
        </w:rPr>
        <w:t xml:space="preserve">Academic Researcher</w:t>
      </w:r>
      <w:r>
        <w:t xml:space="preserve"> </w:t>
      </w:r>
      <w:r>
        <w:t xml:space="preserve">in this sector might collaborate with tech startups on AI ethics or work with cultural institutions on digital heritage preservation. The dense concentration of think tanks and policy institutes in the capital creates a competitive yet collaborative environment that pushes academic output to be more relevant and timely.</w:t>
      </w:r>
    </w:p>
    <w:bookmarkEnd w:id="22"/>
    <w:bookmarkStart w:id="26" w:name="case-scenario"/>
    <w:p>
      <w:pPr>
        <w:pStyle w:val="Heading2"/>
      </w:pPr>
      <w:r>
        <w:t xml:space="preserve">4. Case Scenario: Bridging Climate Science and Policy</w:t>
      </w:r>
    </w:p>
    <w:p>
      <w:pPr>
        <w:pStyle w:val="FirstParagraph"/>
      </w:pPr>
      <w:r>
        <w:t xml:space="preserve">To illustrate the dynamic nature of this role, consider the hypothetical case of Dr. Arama Te Rangi, an</w:t>
      </w:r>
      <w:r>
        <w:t xml:space="preserve"> </w:t>
      </w:r>
      <w:r>
        <w:rPr>
          <w:bCs/>
          <w:b/>
        </w:rPr>
        <w:t xml:space="preserve">Academic Researcher</w:t>
      </w:r>
      <w:r>
        <w:t xml:space="preserve">, specializing in climate modeling at a major Wellington institution. The central challenge facing New Zealand is balancing agricultural productivity with environmental stewardship, particularly regarding water quality and carbon emissions.</w:t>
      </w:r>
    </w:p>
    <w:bookmarkStart w:id="23" w:name="the-challenge"/>
    <w:p>
      <w:pPr>
        <w:pStyle w:val="Heading3"/>
      </w:pPr>
      <w:r>
        <w:t xml:space="preserve">The Challenge</w:t>
      </w:r>
    </w:p>
    <w:p>
      <w:pPr>
        <w:pStyle w:val="FirstParagraph"/>
      </w:pPr>
      <w:r>
        <w:t xml:space="preserve">Dr. Te Rangi was tasked with developing predictive models for coastal erosion in the Wellington region, a critical issue due to rising sea levels threatening both infrastructure and indigenous sites. The complexity lay in integrating historical data, real-time satellite imagery, and local Māori oral histories regarding land changes over centuries.</w:t>
      </w:r>
    </w:p>
    <w:bookmarkEnd w:id="23"/>
    <w:bookmarkStart w:id="24" w:name="the-methodology"/>
    <w:p>
      <w:pPr>
        <w:pStyle w:val="Heading3"/>
      </w:pPr>
      <w:r>
        <w:t xml:space="preserve">The Methodology</w:t>
      </w:r>
    </w:p>
    <w:p>
      <w:pPr>
        <w:pStyle w:val="FirstParagraph"/>
      </w:pPr>
      <w:r>
        <w:t xml:space="preserve">As an</w:t>
      </w:r>
      <w:r>
        <w:t xml:space="preserve"> </w:t>
      </w:r>
      <w:r>
        <w:rPr>
          <w:bCs/>
          <w:b/>
        </w:rPr>
        <w:t xml:space="preserve">Academic Researcher</w:t>
      </w:r>
      <w:r>
        <w:t xml:space="preserve">, Dr. Te Rangi led a cross-disciplinary team comprising geologists, data scientists, and cultural advisors. They utilized advanced machine learning algorithms to process vast datasets while ensuring that the models respected the epistemological frameworks of local iwi (tribes). This collaborative approach ensured that the research was not only scientifically robust but also culturally safe and socially acceptable.</w:t>
      </w:r>
    </w:p>
    <w:bookmarkEnd w:id="24"/>
    <w:bookmarkStart w:id="25" w:name="the-outcome-in-new-zealand-wellington"/>
    <w:p>
      <w:pPr>
        <w:pStyle w:val="Heading3"/>
      </w:pPr>
      <w:r>
        <w:t xml:space="preserve">The Outcome in New Zealand Wellington</w:t>
      </w:r>
    </w:p>
    <w:p>
      <w:pPr>
        <w:pStyle w:val="FirstParagraph"/>
      </w:pPr>
      <w:r>
        <w:t xml:space="preserve">The findings were presented to the Wellington City Council and the Department of Conservation. Because Dr. Te Rangi had maintained ongoing dialogue with stakeholders throughout the research process, the transition from academic paper to policy implementation was seamless. The resulting coastal management plan, developed in New Zealand Wellington, became a model for other regional councils across Aotearoa New Zealand.The</w:t>
      </w:r>
      <w:r>
        <w:t xml:space="preserve"> </w:t>
      </w:r>
      <w:r>
        <w:rPr>
          <w:bCs/>
          <w:b/>
        </w:rPr>
        <w:t xml:space="preserve">Academic Researcher</w:t>
      </w:r>
      <w:r>
        <w:t xml:space="preserve"> </w:t>
      </w:r>
      <w:r>
        <w:t xml:space="preserve">played a pivotal role in translating complex scientific data into clear visualizations and policy briefs that legislators could understand and act upon.</w:t>
      </w:r>
    </w:p>
    <w:bookmarkEnd w:id="25"/>
    <w:bookmarkEnd w:id="26"/>
    <w:bookmarkStart w:id="27" w:name="challenges"/>
    <w:p>
      <w:pPr>
        <w:pStyle w:val="Heading2"/>
      </w:pPr>
      <w:r>
        <w:t xml:space="preserve">5. Challenges Encountered by the Academic Researcher</w:t>
      </w:r>
    </w:p>
    <w:p>
      <w:pPr>
        <w:pStyle w:val="FirstParagraph"/>
      </w:pPr>
      <w:r>
        <w:t xml:space="preserve">Despite the successes, the role of an</w:t>
      </w:r>
      <w:r>
        <w:t xml:space="preserve"> </w:t>
      </w:r>
      <w:r>
        <w:rPr>
          <w:bCs/>
          <w:b/>
        </w:rPr>
        <w:t xml:space="preserve">Academic Researcher</w:t>
      </w:r>
      <w:r>
        <w:t xml:space="preserve">, in New Zealand Wellington is fraught with challenges. One primary issue is funding volatility. Government priorities can shift with changes in administration, potentially disrupting long-term research projects. Additionally, there is a growing pressure to demonstrate "economic impact," which can sometimes conflict with the intrinsic value of basic research.</w:t>
      </w:r>
    </w:p>
    <w:p>
      <w:pPr>
        <w:pStyle w:val="BodyText"/>
      </w:pPr>
      <w:r>
        <w:t xml:space="preserve">Another challenge is the intense competition for talent. Wellington competes globally for top-tier scholars, requiring institutions to offer competitive salaries and supportive environments. Furthermore, the small size of New Zealand’s research community means that collaboration is both a necessity and a constraint; researchers must maintain high ethical standards as reputations are closely knit within this concentrated ecosystem.</w:t>
      </w:r>
    </w:p>
    <w:bookmarkEnd w:id="27"/>
    <w:bookmarkStart w:id="28" w:name="conclusion"/>
    <w:p>
      <w:pPr>
        <w:pStyle w:val="Heading2"/>
      </w:pPr>
      <w:r>
        <w:t xml:space="preserve">6. Conclusion</w:t>
      </w:r>
    </w:p>
    <w:p>
      <w:pPr>
        <w:pStyle w:val="FirstParagraph"/>
      </w:pPr>
      <w:r>
        <w:t xml:space="preserve">This case study demonstrates that the role of an</w:t>
      </w:r>
      <w:r>
        <w:t xml:space="preserve"> </w:t>
      </w:r>
      <w:r>
        <w:rPr>
          <w:bCs/>
          <w:b/>
        </w:rPr>
        <w:t xml:space="preserve">Academic Researcher</w:t>
      </w:r>
      <w:r>
        <w:t xml:space="preserve">, in New Zealand Wellington is pivotal to the nation’s intellectual and practical development. By leveraging the unique advantages of being in the capital—such as access to policymakers, diverse industries, and cultural richness—these researchers can produce work that is both globally relevant and locally impactful. The example of climate modeling illustrates how rigorous academic inquiry can drive tangible policy changes, benefiting society at large.</w:t>
      </w:r>
    </w:p>
    <w:p>
      <w:pPr>
        <w:pStyle w:val="BodyText"/>
      </w:pPr>
      <w:r>
        <w:t xml:space="preserve">Moving forward, it is essential for New Zealand Wellington’s educational institutions to continue supporting their</w:t>
      </w:r>
      <w:r>
        <w:t xml:space="preserve"> </w:t>
      </w:r>
      <w:r>
        <w:rPr>
          <w:bCs/>
          <w:b/>
        </w:rPr>
        <w:t xml:space="preserve">Academic Researcher</w:t>
      </w:r>
      <w:r>
        <w:t xml:space="preserve">, staff through stable funding streams and interdisciplinary initiatives. Only by maintaining this robust support structure can the city sustain its position as a leading center for innovative research in the Asia-Pacific region. The synergy between academic rigor and public engagement remains the hallmark of successful research leadership in New Zealand Wellington, ensuring that knowledge serves as a catalyst for positive societal change.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Academic Researcher in New Zealand Wellington</dc:title>
  <dc:creator/>
  <dc:language>en</dc:language>
  <cp:keywords/>
  <dcterms:created xsi:type="dcterms:W3CDTF">2026-07-30T01:31:13Z</dcterms:created>
  <dcterms:modified xsi:type="dcterms:W3CDTF">2026-07-30T01:31:13Z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