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Internal Document</w:t>
      </w:r>
      <w:r>
        <w:br/>
      </w:r>
      <w:r>
        <w:rPr>
          <w:bCs/>
          <w:b/>
        </w:rPr>
        <w:t xml:space="preserve">Jurisdiction:</w:t>
      </w:r>
      <w:r>
        <w:t xml:space="preserve"> Russia Moscow</w:t>
      </w:r>
      <w:r>
        <w:br/>
      </w:r>
      <w:r>
        <w:br/>
      </w:r>
      <w:r>
        <w:rPr>
          <w:iCs/>
          <w:i/>
        </w:rPr>
        <w:t xml:space="preserve">This document outlines the operational profile of an Academic Researcher within the specific geopolitical and institutional context of Russia Moscow.</w:t>
      </w:r>
    </w:p>
    <w:bookmarkStart w:id="27" w:name="X548ad402e63288533ec64e851bb38b4498ac618"/>
    <w:p>
      <w:pPr>
        <w:pStyle w:val="Heading1"/>
      </w:pPr>
      <w:r>
        <w:t xml:space="preserve">The Academic Researcher in Russia Moscow: A Case Study on Institutional Dynamics, Challenges, and Strategic Opportunities</w:t>
      </w:r>
    </w:p>
    <w:p>
      <w:pPr>
        <w:pStyle w:val="FirstParagraph"/>
      </w:pPr>
      <w:r>
        <w:t xml:space="preserve">The role of the</w:t>
      </w:r>
      <w:r>
        <w:t xml:space="preserve"> </w:t>
      </w:r>
      <w:r>
        <w:rPr>
          <w:bCs/>
          <w:b/>
        </w:rPr>
        <w:t xml:space="preserve">Academic Researcher</w:t>
      </w:r>
      <w:r>
        <w:t xml:space="preserve"> </w:t>
      </w:r>
      <w:r>
        <w:t xml:space="preserve">has evolved significantly over the past two decades. While traditionally viewed as a solitary figure dedicated to pure inquiry, the modern researcher is increasingly required to navigate complex administrative landscapes, secure competitive funding, and engage in international collaboration. This case study examines these dynamics specifically within</w:t>
      </w:r>
      <w:r>
        <w:t xml:space="preserve"> </w:t>
      </w:r>
      <w:r>
        <w:rPr>
          <w:bCs/>
          <w:b/>
        </w:rPr>
        <w:t xml:space="preserve">Russia Moscow</w:t>
      </w:r>
      <w:r>
        <w:t xml:space="preserve">, a city that serves as the intellectual heart of the Russian Federation and a critical node in global scientific networks. By analyzing the unique pressures and opportunities present in this metropolis, we can better understand how an</w:t>
      </w:r>
      <w:r>
        <w:t xml:space="preserve"> </w:t>
      </w:r>
      <w:r>
        <w:rPr>
          <w:bCs/>
          <w:b/>
        </w:rPr>
        <w:t xml:space="preserve">Academic Researcher</w:t>
      </w:r>
      <w:r>
        <w:t xml:space="preserve"> </w:t>
      </w:r>
      <w:r>
        <w:t xml:space="preserve">operates at the intersection of local tradition and global expectation.</w:t>
      </w:r>
    </w:p>
    <w:bookmarkStart w:id="20" w:name="X24882bbd099dd79eaa880c3c595c22db8654d5c"/>
    <w:p>
      <w:pPr>
        <w:pStyle w:val="Heading2"/>
      </w:pPr>
      <w:r>
        <w:t xml:space="preserve">1. Introduction: The Context of Russia Moscow</w:t>
      </w:r>
    </w:p>
    <w:p>
      <w:pPr>
        <w:pStyle w:val="FirstParagraph"/>
      </w:pPr>
      <w:r>
        <w:rPr>
          <w:bCs/>
          <w:b/>
        </w:rPr>
        <w:t xml:space="preserve">Russia Moscow</w:t>
      </w:r>
      <w:r>
        <w:t xml:space="preserve"> </w:t>
      </w:r>
      <w:r>
        <w:t xml:space="preserve">is not merely a geographical location; it is a dense ecosystem of prestige, bureaucracy, and historical weight. For an</w:t>
      </w:r>
      <w:r>
        <w:t xml:space="preserve"> </w:t>
      </w:r>
      <w:r>
        <w:rPr>
          <w:bCs/>
          <w:b/>
        </w:rPr>
        <w:t xml:space="preserve">Academic Researcher</w:t>
      </w:r>
      <w:r>
        <w:t xml:space="preserve">, the capital city offers unparalleled access to state-funded laboratories, major libraries such as the Russian State Library, and prestigious institutions like Lomonosov Moscow State University (MSU) or the Higher School of Economics (HSE). However, these advantages are counterbalanced by a rigid hierarchical structure and a rapidly shifting regulatory environment. The current climate requires an</w:t>
      </w:r>
      <w:r>
        <w:t xml:space="preserve"> </w:t>
      </w:r>
      <w:r>
        <w:rPr>
          <w:bCs/>
          <w:b/>
        </w:rPr>
        <w:t xml:space="preserve">Academic Researcher</w:t>
      </w:r>
      <w:r>
        <w:t xml:space="preserve"> </w:t>
      </w:r>
      <w:r>
        <w:t xml:space="preserve">to possess not only scientific acumen but also diplomatic skill and adaptability.</w:t>
      </w:r>
    </w:p>
    <w:p>
      <w:pPr>
        <w:pStyle w:val="BodyText"/>
      </w:pPr>
      <w:r>
        <w:t xml:space="preserve">The city’s infrastructure supports high-level research in fields ranging from quantum physics to literature, yet the funding mechanisms often prioritize national strategic interests over open-ended curiosity. Consequently, the profile of a successful</w:t>
      </w:r>
      <w:r>
        <w:t xml:space="preserve"> </w:t>
      </w:r>
      <w:r>
        <w:rPr>
          <w:bCs/>
          <w:b/>
        </w:rPr>
        <w:t xml:space="preserve">Academic Researcher</w:t>
      </w:r>
      <w:r>
        <w:t xml:space="preserve"> </w:t>
      </w:r>
      <w:r>
        <w:t xml:space="preserve">in</w:t>
      </w:r>
      <w:r>
        <w:t xml:space="preserve"> </w:t>
      </w:r>
      <w:r>
        <w:rPr>
          <w:bCs/>
          <w:b/>
        </w:rPr>
        <w:t xml:space="preserve">Russia Moscow</w:t>
      </w:r>
      <w:r>
        <w:t xml:space="preserve"> </w:t>
      </w:r>
      <w:r>
        <w:t xml:space="preserve">is one who can align their personal scholarly goals with broader state or institutional priorities.</w:t>
      </w:r>
    </w:p>
    <w:bookmarkEnd w:id="20"/>
    <w:bookmarkStart w:id="21" w:name="institutional-frameworks-and-hierarchies"/>
    <w:p>
      <w:pPr>
        <w:pStyle w:val="Heading2"/>
      </w:pPr>
      <w:r>
        <w:t xml:space="preserve">2. Institutional Frameworks and Hierarchies</w:t>
      </w:r>
    </w:p>
    <w:p>
      <w:pPr>
        <w:pStyle w:val="FirstParagraph"/>
      </w:pPr>
      <w:r>
        <w:t xml:space="preserve">In the ecosystem of</w:t>
      </w:r>
      <w:r>
        <w:t xml:space="preserve"> </w:t>
      </w:r>
      <w:r>
        <w:rPr>
          <w:bCs/>
          <w:b/>
        </w:rPr>
        <w:t xml:space="preserve">Russia Moscow</w:t>
      </w:r>
      <w:r>
        <w:t xml:space="preserve">, the academic hierarchy is steep and deeply entrenched. The title of "Candidate of Sciences" (Kandidat Nauk) is a mandatory milestone for any serious career progression, representing a significant barrier to entry for junior academics. For an</w:t>
      </w:r>
      <w:r>
        <w:t xml:space="preserve"> </w:t>
      </w:r>
      <w:r>
        <w:rPr>
          <w:bCs/>
          <w:b/>
        </w:rPr>
        <w:t xml:space="preserve">Academic Researcher</w:t>
      </w:r>
      <w:r>
        <w:t xml:space="preserve"> </w:t>
      </w:r>
      <w:r>
        <w:t xml:space="preserve">seeking tenure or professorship in</w:t>
      </w:r>
      <w:r>
        <w:t xml:space="preserve"> </w:t>
      </w:r>
      <w:r>
        <w:rPr>
          <w:bCs/>
          <w:b/>
        </w:rPr>
        <w:t xml:space="preserve">Russia Moscow</w:t>
      </w:r>
      <w:r>
        <w:t xml:space="preserve">, obtaining this degree is often more critical than the volume of their published papers.</w:t>
      </w:r>
    </w:p>
    <w:p>
      <w:pPr>
        <w:pStyle w:val="BodyText"/>
      </w:pPr>
      <w:r>
        <w:t xml:space="preserve">"In the context of Russia Moscow, institutional loyalty and adherence to administrative protocols are often weighed equally against scientific output. An Academic Researcher who ignores these social contracts risks marginalization regardless of their intellectual brilliance."</w:t>
      </w:r>
    </w:p>
    <w:p>
      <w:pPr>
        <w:pStyle w:val="BodyText"/>
      </w:pPr>
      <w:r>
        <w:t xml:space="preserve">Major research institutes in</w:t>
      </w:r>
      <w:r>
        <w:t xml:space="preserve"> </w:t>
      </w:r>
      <w:r>
        <w:rPr>
          <w:bCs/>
          <w:b/>
        </w:rPr>
        <w:t xml:space="preserve">Russia Moscow</w:t>
      </w:r>
      <w:r>
        <w:t xml:space="preserve">, such as those under the Russian Academy of Sciences (RAS), operate with a level of autonomy that is rare globally, yet they remain heavily reliant on state grants. This dual nature creates a tension for the</w:t>
      </w:r>
      <w:r>
        <w:t xml:space="preserve"> </w:t>
      </w:r>
      <w:r>
        <w:rPr>
          <w:bCs/>
          <w:b/>
        </w:rPr>
        <w:t xml:space="preserve">Academic Researcher</w:t>
      </w:r>
      <w:r>
        <w:t xml:space="preserve">: they must satisfy bureaucratic reporting requirements while maintaining the integrity and speed required for modern scientific discovery.</w:t>
      </w:r>
    </w:p>
    <w:bookmarkEnd w:id="21"/>
    <w:bookmarkStart w:id="22" w:name="X377546bce63c422f075af0533103f1163775536"/>
    <w:p>
      <w:pPr>
        <w:pStyle w:val="Heading2"/>
      </w:pPr>
      <w:r>
        <w:t xml:space="preserve">3. Funding Landscapes and Resource Allocation</w:t>
      </w:r>
    </w:p>
    <w:p>
      <w:pPr>
        <w:pStyle w:val="FirstParagraph"/>
      </w:pPr>
      <w:r>
        <w:t xml:space="preserve">Funding is perhaps the most volatile aspect of an</w:t>
      </w:r>
      <w:r>
        <w:t xml:space="preserve"> </w:t>
      </w:r>
      <w:r>
        <w:rPr>
          <w:bCs/>
          <w:b/>
        </w:rPr>
        <w:t xml:space="preserve">Academic Researcher’s</w:t>
      </w:r>
      <w:r>
        <w:t xml:space="preserve"> </w:t>
      </w:r>
      <w:r>
        <w:t xml:space="preserve">life in</w:t>
      </w:r>
      <w:r>
        <w:t xml:space="preserve"> </w:t>
      </w:r>
      <w:r>
        <w:rPr>
          <w:bCs/>
          <w:b/>
        </w:rPr>
        <w:t xml:space="preserve">Russia Moscow</w:t>
      </w:r>
      <w:r>
        <w:t xml:space="preserve">. The landscape is divided between state grants (such as those from the Russian Science Foundation) and competitive university-specific funds. Due to international sanctions and geopolitical shifts, access to Western funding sources has diminished significantly. This has forced a pivot toward domestic funding mechanisms.</w:t>
      </w:r>
    </w:p>
    <w:p>
      <w:pPr>
        <w:pStyle w:val="BodyText"/>
      </w:pPr>
      <w:r>
        <w:t xml:space="preserve">For an</w:t>
      </w:r>
      <w:r>
        <w:t xml:space="preserve"> </w:t>
      </w:r>
      <w:r>
        <w:rPr>
          <w:bCs/>
          <w:b/>
        </w:rPr>
        <w:t xml:space="preserve">Academic Researcher</w:t>
      </w:r>
      <w:r>
        <w:t xml:space="preserve">, this means that grant writing is no longer just a part of the job; it is the primary vehicle for survival. In</w:t>
      </w:r>
      <w:r>
        <w:t xml:space="preserve"> </w:t>
      </w:r>
      <w:r>
        <w:rPr>
          <w:bCs/>
          <w:b/>
        </w:rPr>
        <w:t xml:space="preserve">Russia Moscow</w:t>
      </w:r>
      <w:r>
        <w:t xml:space="preserve">, competition for these grants is fierce, often involving direct competition with senior colleagues who hold significant administrative power. The ability to craft proposals that resonate with national strategic goals—such as import substitution, digital sovereignty, or energy efficiency—is a crucial skill set.</w:t>
      </w:r>
    </w:p>
    <w:bookmarkEnd w:id="22"/>
    <w:bookmarkStart w:id="23" w:name="X5c683f97ca06af5046d6cd9a4826803e239fe64"/>
    <w:p>
      <w:pPr>
        <w:pStyle w:val="Heading2"/>
      </w:pPr>
      <w:r>
        <w:t xml:space="preserve">4. International Collaboration and Isolation</w:t>
      </w:r>
    </w:p>
    <w:p>
      <w:pPr>
        <w:pStyle w:val="FirstParagraph"/>
      </w:pPr>
      <w:r>
        <w:t xml:space="preserve">The case of the</w:t>
      </w:r>
      <w:r>
        <w:t xml:space="preserve"> </w:t>
      </w:r>
      <w:r>
        <w:rPr>
          <w:bCs/>
          <w:b/>
        </w:rPr>
        <w:t xml:space="preserve">Academic Researcher</w:t>
      </w:r>
      <w:r>
        <w:t xml:space="preserve"> </w:t>
      </w:r>
      <w:r>
        <w:t xml:space="preserve">in</w:t>
      </w:r>
      <w:r>
        <w:t xml:space="preserve"> </w:t>
      </w:r>
      <w:r>
        <w:rPr>
          <w:bCs/>
          <w:b/>
        </w:rPr>
        <w:t xml:space="preserve">Russia Moscow</w:t>
      </w:r>
      <w:r>
        <w:t xml:space="preserve"> </w:t>
      </w:r>
      <w:r>
        <w:t xml:space="preserve">highlights a paradoxical situation regarding international collaboration. On one hand, there is an urgent need for global engagement to keep pace with technological advancements in fields like AI and biotechnology. On the other hand, political tensions have created barriers to travel, data sharing, and joint publications.</w:t>
      </w:r>
    </w:p>
    <w:p>
      <w:pPr>
        <w:pStyle w:val="BodyText"/>
      </w:pPr>
      <w:r>
        <w:t xml:space="preserve">Despite these challenges, many</w:t>
      </w:r>
      <w:r>
        <w:t xml:space="preserve"> </w:t>
      </w:r>
      <w:r>
        <w:rPr>
          <w:bCs/>
          <w:b/>
        </w:rPr>
        <w:t xml:space="preserve">Academic Researchers</w:t>
      </w:r>
      <w:r>
        <w:t xml:space="preserve"> </w:t>
      </w:r>
      <w:r>
        <w:t xml:space="preserve">in</w:t>
      </w:r>
      <w:r>
        <w:t xml:space="preserve"> </w:t>
      </w:r>
      <w:r>
        <w:rPr>
          <w:bCs/>
          <w:b/>
        </w:rPr>
        <w:t xml:space="preserve">Russia Moscow</w:t>
      </w:r>
      <w:r>
        <w:t xml:space="preserve"> </w:t>
      </w:r>
      <w:r>
        <w:t xml:space="preserve">maintain robust remote collaborations with partners in Asia, the Middle East, and even parts of Europe. However, the nature of these collaborations has changed. They are less about casual exchange and more about targeted, strategic partnerships that bypass traditional Western-centric networks. An</w:t>
      </w:r>
      <w:r>
        <w:t xml:space="preserve"> </w:t>
      </w:r>
      <w:r>
        <w:rPr>
          <w:bCs/>
          <w:b/>
        </w:rPr>
        <w:t xml:space="preserve">Academic Researcher</w:t>
      </w:r>
      <w:r>
        <w:t xml:space="preserve"> </w:t>
      </w:r>
      <w:r>
        <w:t xml:space="preserve">must now be adept at navigating dual-use technology regulations and ensuring that their work complies with both local laws and the increasingly complex web of international export controls.</w:t>
      </w:r>
    </w:p>
    <w:bookmarkEnd w:id="23"/>
    <w:bookmarkStart w:id="24" w:name="daily-operations-and-cultural-nuances"/>
    <w:p>
      <w:pPr>
        <w:pStyle w:val="Heading2"/>
      </w:pPr>
      <w:r>
        <w:t xml:space="preserve">5. Daily Operations and Cultural Nuances</w:t>
      </w:r>
    </w:p>
    <w:p>
      <w:pPr>
        <w:pStyle w:val="FirstParagraph"/>
      </w:pPr>
      <w:r>
        <w:t xml:space="preserve">The daily life of an</w:t>
      </w:r>
      <w:r>
        <w:t xml:space="preserve"> </w:t>
      </w:r>
      <w:r>
        <w:rPr>
          <w:bCs/>
          <w:b/>
        </w:rPr>
        <w:t xml:space="preserve">Academic Researcher</w:t>
      </w:r>
      <w:r>
        <w:t xml:space="preserve"> </w:t>
      </w:r>
      <w:r>
        <w:t xml:space="preserve">in</w:t>
      </w:r>
      <w:r>
        <w:t xml:space="preserve"> </w:t>
      </w:r>
      <w:r>
        <w:rPr>
          <w:bCs/>
          <w:b/>
        </w:rPr>
        <w:t xml:space="preserve">Russia Moscow</w:t>
      </w:r>
      <w:r>
        <w:t xml:space="preserve"> </w:t>
      </w:r>
      <w:r>
        <w:t xml:space="preserve">is characterized by a blend of intense intellectual focus and extensive administrative labor. Bureaucracy is pervasive, requiring significant time to be spent on paperwork, reporting, and attending mandatory meetings. This "administrative drag" can reduce the actual time available for experimental work or theoretical development.</w:t>
      </w:r>
    </w:p>
    <w:p>
      <w:pPr>
        <w:pStyle w:val="BodyText"/>
      </w:pPr>
      <w:r>
        <w:t xml:space="preserve">Culturally, the academic environment in</w:t>
      </w:r>
      <w:r>
        <w:t xml:space="preserve"> </w:t>
      </w:r>
      <w:r>
        <w:rPr>
          <w:bCs/>
          <w:b/>
        </w:rPr>
        <w:t xml:space="preserve">Russia Moscow</w:t>
      </w:r>
      <w:r>
        <w:t xml:space="preserve"> </w:t>
      </w:r>
      <w:r>
        <w:t xml:space="preserve">values directness and intellectual rigor. Debates can be heated and personal, reflecting a tradition of strong-willed scholarly discourse. For an external observer or a junior researcher, this can be intimidating. However, it also fosters a culture where ideas are tested aggressively before acceptance. The concept of "networking" in this context is less about transactional relationships and more about building long-term mentorship ties within the academic community.</w:t>
      </w:r>
    </w:p>
    <w:bookmarkEnd w:id="24"/>
    <w:bookmarkStart w:id="25" w:name="strategic-recommendations-for-success"/>
    <w:p>
      <w:pPr>
        <w:pStyle w:val="Heading2"/>
      </w:pPr>
      <w:r>
        <w:t xml:space="preserve">6. Strategic Recommendations for Success</w:t>
      </w:r>
    </w:p>
    <w:p>
      <w:pPr>
        <w:pStyle w:val="FirstParagraph"/>
      </w:pPr>
      <w:r>
        <w:t xml:space="preserve">To thrive as an</w:t>
      </w:r>
      <w:r>
        <w:t xml:space="preserve"> </w:t>
      </w:r>
      <w:r>
        <w:rPr>
          <w:bCs/>
          <w:b/>
        </w:rPr>
        <w:t xml:space="preserve">Academic Researcher</w:t>
      </w:r>
      <w:r>
        <w:t xml:space="preserve"> </w:t>
      </w:r>
      <w:r>
        <w:t xml:space="preserve">in this unique environment, several strategies are recommended:</w:t>
      </w:r>
    </w:p>
    <w:p>
      <w:pPr>
        <w:numPr>
          <w:ilvl w:val="0"/>
          <w:numId w:val="1001"/>
        </w:numPr>
        <w:pStyle w:val="Compact"/>
      </w:pPr>
      <w:r>
        <w:rPr>
          <w:bCs/>
          <w:b/>
        </w:rPr>
        <w:t xml:space="preserve">Navigate the Bureaucracy Efficiently:</w:t>
      </w:r>
      <w:r>
        <w:t xml:space="preserve"> </w:t>
      </w:r>
      <w:r>
        <w:t xml:space="preserve">Understand the internal politics of your institution in</w:t>
      </w:r>
      <w:r>
        <w:t xml:space="preserve"> </w:t>
      </w:r>
      <w:r>
        <w:rPr>
          <w:bCs/>
          <w:b/>
        </w:rPr>
        <w:t xml:space="preserve">Russia Moscow</w:t>
      </w:r>
      <w:r>
        <w:t xml:space="preserve">. Building relationships with administrative heads is as important as publishing papers.</w:t>
      </w:r>
    </w:p>
    <w:p>
      <w:pPr>
        <w:numPr>
          <w:ilvl w:val="0"/>
          <w:numId w:val="1001"/>
        </w:numPr>
        <w:pStyle w:val="Compact"/>
      </w:pPr>
      <w:r>
        <w:rPr>
          <w:bCs/>
          <w:b/>
        </w:rPr>
        <w:t xml:space="preserve">Diversify Funding Sources:</w:t>
      </w:r>
      <w:r>
        <w:t xml:space="preserve"> </w:t>
      </w:r>
      <w:r>
        <w:t xml:space="preserve">Do not rely solely on one grant body. Cultivate relationships with private industry partners within Moscow, which are increasingly willing to fund applied research.</w:t>
      </w:r>
    </w:p>
    <w:p>
      <w:pPr>
        <w:numPr>
          <w:ilvl w:val="0"/>
          <w:numId w:val="1001"/>
        </w:numPr>
        <w:pStyle w:val="Compact"/>
      </w:pPr>
      <w:r>
        <w:rPr>
          <w:bCs/>
          <w:b/>
        </w:rPr>
        <w:t xml:space="preserve">Maintain International Presence Remotely:</w:t>
      </w:r>
      <w:r>
        <w:t xml:space="preserve"> </w:t>
      </w:r>
      <w:r>
        <w:t xml:space="preserve">Utilize digital platforms to maintain visibility in the global scientific community, ensuring that your work remains cited and recognized even if physical travel is restricted.</w:t>
      </w:r>
    </w:p>
    <w:p>
      <w:pPr>
        <w:numPr>
          <w:ilvl w:val="0"/>
          <w:numId w:val="1001"/>
        </w:numPr>
        <w:pStyle w:val="Compact"/>
      </w:pPr>
      <w:r>
        <w:rPr>
          <w:bCs/>
          <w:b/>
        </w:rPr>
        <w:t xml:space="preserve">Leverage Local Strengths:</w:t>
      </w:r>
      <w:r>
        <w:t xml:space="preserve"> </w:t>
      </w:r>
      <w:r>
        <w:t xml:space="preserve">Focus on areas where</w:t>
      </w:r>
      <w:r>
        <w:t xml:space="preserve"> </w:t>
      </w:r>
      <w:r>
        <w:rPr>
          <w:bCs/>
          <w:b/>
        </w:rPr>
        <w:t xml:space="preserve">Russia Moscow</w:t>
      </w:r>
      <w:r>
        <w:t xml:space="preserve"> </w:t>
      </w:r>
      <w:r>
        <w:t xml:space="preserve">has historical or current competitive advantages, such as mathematics, physics, and certain aspects of computer science.</w:t>
      </w:r>
    </w:p>
    <w:bookmarkEnd w:id="25"/>
    <w:bookmarkStart w:id="26" w:name="conclusion"/>
    <w:p>
      <w:pPr>
        <w:pStyle w:val="Heading2"/>
      </w:pPr>
      <w:r>
        <w:t xml:space="preserve">7. Conclusion</w:t>
      </w:r>
    </w:p>
    <w:p>
      <w:pPr>
        <w:pStyle w:val="FirstParagraph"/>
      </w:pPr>
      <w:r>
        <w:t xml:space="preserve">The profile of the</w:t>
      </w:r>
      <w:r>
        <w:t xml:space="preserve"> </w:t>
      </w:r>
      <w:r>
        <w:rPr>
          <w:bCs/>
          <w:b/>
        </w:rPr>
        <w:t xml:space="preserve">Academic Researcher</w:t>
      </w:r>
      <w:r>
        <w:t xml:space="preserve"> </w:t>
      </w:r>
      <w:r>
        <w:t xml:space="preserve">in</w:t>
      </w:r>
      <w:r>
        <w:t xml:space="preserve"> </w:t>
      </w:r>
      <w:r>
        <w:rPr>
          <w:bCs/>
          <w:b/>
        </w:rPr>
        <w:t xml:space="preserve">Russia Moscow</w:t>
      </w:r>
    </w:p>
    <w:p>
      <w:pPr>
        <w:pStyle w:val="BodyText"/>
      </w:pPr>
      <w:r>
        <w:t xml:space="preserve">As we look to the future of academia in this region, the ability of an</w:t>
      </w:r>
      <w:r>
        <w:t xml:space="preserve"> </w:t>
      </w:r>
      <w:r>
        <w:rPr>
          <w:bCs/>
          <w:b/>
        </w:rPr>
        <w:t xml:space="preserve">Academic Researcher</w:t>
      </w:r>
      <w:r>
        <w:t xml:space="preserve"> </w:t>
      </w:r>
      <w:r>
        <w:t xml:space="preserve">to bridge the gap between local institutional demands and global scientific standards will be the defining factor of their career.</w:t>
      </w:r>
      <w:r>
        <w:t xml:space="preserve"> </w:t>
      </w:r>
      <w:r>
        <w:rPr>
          <w:bCs/>
          <w:b/>
        </w:rPr>
        <w:t xml:space="preserve">Russia Moscow</w:t>
      </w:r>
      <w:r>
        <w:t xml:space="preserve">, with its rich history and complex present, continues to serve as a critical laboratory for understanding how science functions under pressure. For those who can navigate this landscape, it offers profound opportunities for impactful work that contributes both to national development and the broader human knowledge base.</w:t>
      </w:r>
    </w:p>
    <w:p>
      <w:pPr>
        <w:pStyle w:val="BodyText"/>
      </w:pPr>
      <w:r>
        <w:t xml:space="preserve">This case study underscores that being an</w:t>
      </w:r>
      <w:r>
        <w:t xml:space="preserve"> </w:t>
      </w:r>
      <w:r>
        <w:rPr>
          <w:bCs/>
          <w:b/>
        </w:rPr>
        <w:t xml:space="preserve">Academic Researcher</w:t>
      </w:r>
      <w:r>
        <w:t xml:space="preserve"> </w:t>
      </w:r>
      <w:r>
        <w:t xml:space="preserve">in</w:t>
      </w:r>
      <w:r>
        <w:t xml:space="preserve"> </w:t>
      </w:r>
      <w:r>
        <w:rPr>
          <w:bCs/>
          <w:b/>
        </w:rPr>
        <w:t xml:space="preserve">Russia Moscow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Russia Moscow</dc:title>
  <dc:creator/>
  <dc:language>en</dc:language>
  <cp:keywords/>
  <dcterms:created xsi:type="dcterms:W3CDTF">2026-07-29T03:51:53Z</dcterms:created>
  <dcterms:modified xsi:type="dcterms:W3CDTF">2026-07-29T03:51:53Z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