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8" w:name="case-study-document"/>
    <w:p>
      <w:pPr>
        <w:pStyle w:val="Heading1"/>
      </w:pPr>
      <w:r>
        <w:t xml:space="preserve">Case Study Document</w:t>
      </w:r>
    </w:p>
    <w:bookmarkStart w:id="20" w:name="title"/>
    <w:p>
      <w:pPr>
        <w:pStyle w:val="Heading2"/>
      </w:pPr>
      <w:r>
        <w:t xml:space="preserve">Title:</w:t>
      </w:r>
    </w:p>
    <w:p>
      <w:pPr>
        <w:pStyle w:val="FirstParagraph"/>
      </w:pPr>
      <w:r>
        <w:t xml:space="preserve">The Nexus of Tradition and Innovation: A Comprehensive Case Study on the Academic Researcher in Turkey Istanbul.</w:t>
      </w:r>
    </w:p>
    <w:p>
      <w:pPr>
        <w:pStyle w:val="BodyText"/>
      </w:pPr>
      <w:r>
        <w:br/>
      </w:r>
      <w:r>
        <w:rPr>
          <w:bCs/>
          <w:b/>
        </w:rPr>
        <w:t xml:space="preserve">Purpose:</w:t>
      </w:r>
      <w:r>
        <w:t xml:space="preserve">This document serves as an analytical case study examining the unique professional, cultural, and logistical landscape faced by an Academic Researcher operating within Turkey Istanbul. It explores how this specific role interacts with one of the world's most vibrant intellectual hubs.</w:t>
      </w:r>
    </w:p>
    <w:bookmarkEnd w:id="20"/>
    <w:bookmarkStart w:id="21" w:name="introduction-and-background"/>
    <w:p>
      <w:pPr>
        <w:pStyle w:val="Heading2"/>
      </w:pPr>
      <w:r>
        <w:t xml:space="preserve">1. Introduction and Background</w:t>
      </w:r>
    </w:p>
    <w:p>
      <w:pPr>
        <w:pStyle w:val="FirstParagraph"/>
      </w:pPr>
      <w:r>
        <w:t xml:space="preserve">In the contemporary global knowledge economy, universities are not merely institutions of higher learning but dynamic ecosystems where culture, history, and scientific inquiry intersect. This case study focuses specifically on</w:t>
      </w:r>
      <w:r>
        <w:t xml:space="preserve"> </w:t>
      </w:r>
      <w:r>
        <w:rPr>
          <w:bCs/>
          <w:b/>
        </w:rPr>
        <w:t xml:space="preserve">Turkey Istanbul</w:t>
      </w:r>
      <w:r>
        <w:t xml:space="preserve">, a metropolis that straddles two continents and serves as a historical bridge between East and West. For an</w:t>
      </w:r>
      <w:r>
        <w:t xml:space="preserve"> </w:t>
      </w:r>
      <w:r>
        <w:rPr>
          <w:iCs/>
          <w:i/>
        </w:rPr>
        <w:t xml:space="preserve">Academic Researcher</w:t>
      </w:r>
      <w:r>
        <w:t xml:space="preserve">, Istanbul is not just a location; it is a complex variable in their professional equation, offering unparalleled access to diverse datasets, ancient archives, and cross-cultural perspectives.</w:t>
      </w:r>
    </w:p>
    <w:p>
      <w:pPr>
        <w:pStyle w:val="BodyText"/>
      </w:pPr>
      <w:r>
        <w:t xml:space="preserve">The primary objective of this case study is to analyze the multifaceted nature of conducting high-level academic research in this specific geographic context. We examine how an</w:t>
      </w:r>
      <w:r>
        <w:t xml:space="preserve"> </w:t>
      </w:r>
      <w:r>
        <w:rPr>
          <w:iCs/>
          <w:i/>
        </w:rPr>
        <w:t xml:space="preserve">Academic Researcher</w:t>
      </w:r>
      <w:r>
        <w:t xml:space="preserve"> </w:t>
      </w:r>
      <w:r>
        <w:t xml:space="preserve">navigates the bureaucratic landscapes of Turkish academia, leverages the rich historical tapestry of Istanbul for qualitative and quantitative analysis, and balances international collaboration with local community engagement.</w:t>
      </w:r>
    </w:p>
    <w:bookmarkEnd w:id="21"/>
    <w:bookmarkStart w:id="22" w:name="profile-the-academic-researcher"/>
    <w:p>
      <w:pPr>
        <w:pStyle w:val="Heading2"/>
      </w:pPr>
      <w:r>
        <w:t xml:space="preserve">2. Profile: The Academic Researcher</w:t>
      </w:r>
    </w:p>
    <w:p>
      <w:pPr>
        <w:pStyle w:val="FirstParagraph"/>
      </w:pPr>
      <w:r>
        <w:t xml:space="preserve">To ground this study in reality, we define our subject as Dr. Elif Yılmaz (a composite persona representing typical senior researchers), an</w:t>
      </w:r>
      <w:r>
        <w:t xml:space="preserve"> </w:t>
      </w:r>
      <w:r>
        <w:rPr>
          <w:iCs/>
          <w:i/>
        </w:rPr>
        <w:t xml:space="preserve">Academic Researcher</w:t>
      </w:r>
      <w:r>
        <w:t xml:space="preserve"> </w:t>
      </w:r>
      <w:r>
        <w:t xml:space="preserve">specializing in Urban Sociology and Digital Humanities. She holds a tenure-track position at a prominent university in Istanbul, such as Bogazici University or Koç University. Her work involves interdisciplinary studies that require both digital archiving of historical Ottoman records and fieldwork within the modernizing districts of</w:t>
      </w:r>
      <w:r>
        <w:t xml:space="preserve"> </w:t>
      </w:r>
      <w:r>
        <w:rPr>
          <w:bCs/>
          <w:b/>
        </w:rPr>
        <w:t xml:space="preserve">Turkey Istanbul</w:t>
      </w:r>
      <w:r>
        <w:t xml:space="preserve">.</w:t>
      </w:r>
    </w:p>
    <w:p>
      <w:pPr>
        <w:pStyle w:val="BodyText"/>
      </w:pPr>
      <w:r>
        <w:t xml:space="preserve">Dr. Yılmaz’s profile highlights the dual mandate required of modern researchers: maintaining rigorous international publication standards while contributing to local societal development. This duality defines her daily existence, creating a unique set of challenges and opportunities that distinguish her experience from colleagues in Western Europe or North America.</w:t>
      </w:r>
    </w:p>
    <w:bookmarkEnd w:id="22"/>
    <w:bookmarkStart w:id="23" w:name="X1a60cb7f5d1fee8b5da085faaa874075f8186ea"/>
    <w:p>
      <w:pPr>
        <w:pStyle w:val="Heading2"/>
      </w:pPr>
      <w:r>
        <w:t xml:space="preserve">3. The Istanbul Context: A Double-Edged Sword</w:t>
      </w:r>
    </w:p>
    <w:p>
      <w:pPr>
        <w:pStyle w:val="FirstParagraph"/>
      </w:pPr>
      <w:r>
        <w:t xml:space="preserve">The setting of</w:t>
      </w:r>
      <w:r>
        <w:t xml:space="preserve"> </w:t>
      </w:r>
      <w:r>
        <w:rPr>
          <w:bCs/>
          <w:b/>
        </w:rPr>
        <w:t xml:space="preserve">Turkey Istanbul</w:t>
      </w:r>
      <w:r>
        <w:t xml:space="preserve"> </w:t>
      </w:r>
      <w:r>
        <w:t xml:space="preserve">presents a paradoxical environment for research. On one hand, the city offers an unmatched density of cultural heritage sites, making it ideal for historical and sociological studies. The Hagia Sophia, the Topkapi Palace archives, and the bustling markets of Kadikoy serve as living laboratories. For an</w:t>
      </w:r>
      <w:r>
        <w:t xml:space="preserve"> </w:t>
      </w:r>
      <w:r>
        <w:rPr>
          <w:iCs/>
          <w:i/>
        </w:rPr>
        <w:t xml:space="preserve">Academic Researcher</w:t>
      </w:r>
      <w:r>
        <w:t xml:space="preserve">, these resources are invaluable assets that can yield unique insights inaccessible to those in monolithic cultural contexts.</w:t>
      </w:r>
    </w:p>
    <w:p>
      <w:pPr>
        <w:pStyle w:val="BodyText"/>
      </w:pPr>
      <w:r>
        <w:t xml:space="preserve">On the other hand,</w:t>
      </w:r>
      <w:r>
        <w:t xml:space="preserve"> </w:t>
      </w:r>
      <w:r>
        <w:rPr>
          <w:bCs/>
          <w:b/>
        </w:rPr>
        <w:t xml:space="preserve">Turkey Istanbul</w:t>
      </w:r>
      <w:r>
        <w:t xml:space="preserve"> </w:t>
      </w:r>
      <w:r>
        <w:t xml:space="preserve">is a city of immense logistical complexity. The traffic congestion, the rapid urbanization projects, and the demographic shifts create a volatile environment for longitudinal studies. An</w:t>
      </w:r>
      <w:r>
        <w:t xml:space="preserve"> </w:t>
      </w:r>
      <w:r>
        <w:rPr>
          <w:iCs/>
          <w:i/>
        </w:rPr>
        <w:t xml:space="preserve">Academic Researcher</w:t>
      </w:r>
      <w:r>
        <w:t xml:space="preserve"> </w:t>
      </w:r>
      <w:r>
        <w:t xml:space="preserve">must adapt their methodologies to account for these fluctuations. For instance, field surveys conducted in Beyoglu may yield different results in June compared to November due to tourism cycles and local political events. Understanding the pulse of</w:t>
      </w:r>
      <w:r>
        <w:t xml:space="preserve"> </w:t>
      </w:r>
      <w:r>
        <w:rPr>
          <w:bCs/>
          <w:b/>
        </w:rPr>
        <w:t xml:space="preserve">Turkey Istanbul</w:t>
      </w:r>
      <w:r>
        <w:t xml:space="preserve"> </w:t>
      </w:r>
      <w:r>
        <w:t xml:space="preserve">is therefore not optional but a critical component of methodological rigor.</w:t>
      </w:r>
    </w:p>
    <w:bookmarkEnd w:id="23"/>
    <w:bookmarkStart w:id="24" w:name="methodological-adaptations"/>
    <w:p>
      <w:pPr>
        <w:pStyle w:val="Heading2"/>
      </w:pPr>
      <w:r>
        <w:t xml:space="preserve">4. Methodological Adaptations</w:t>
      </w:r>
    </w:p>
    <w:p>
      <w:pPr>
        <w:pStyle w:val="FirstParagraph"/>
      </w:pPr>
      <w:r>
        <w:t xml:space="preserve">In this case study, we observe how the</w:t>
      </w:r>
      <w:r>
        <w:t xml:space="preserve"> </w:t>
      </w:r>
      <w:r>
        <w:rPr>
          <w:iCs/>
          <w:i/>
        </w:rPr>
        <w:t xml:space="preserve">Academic Researcher</w:t>
      </w:r>
      <w:r>
        <w:t xml:space="preserve"> </w:t>
      </w:r>
      <w:r>
        <w:t xml:space="preserve">adapts standard Western research methodologies to fit the local context. This process involves several key adaptations:</w:t>
      </w:r>
    </w:p>
    <w:p>
      <w:pPr>
        <w:numPr>
          <w:ilvl w:val="0"/>
          <w:numId w:val="1001"/>
        </w:numPr>
        <w:pStyle w:val="Compact"/>
      </w:pPr>
      <w:r>
        <w:t xml:space="preserve">Linguistic Agility: While English is increasingly common in Turkish academia, conducting deep ethnographic research requires proficiency in Turkish and often regional dialects. The researcher must navigate code-switching between academic formalism and colloquial street language.</w:t>
      </w:r>
    </w:p>
    <w:p>
      <w:pPr>
        <w:numPr>
          <w:ilvl w:val="0"/>
          <w:numId w:val="1001"/>
        </w:numPr>
        <w:pStyle w:val="Compact"/>
      </w:pPr>
      <w:r>
        <w:t xml:space="preserve">Cultural Sensitivity: In</w:t>
      </w:r>
      <w:r>
        <w:t xml:space="preserve"> </w:t>
      </w:r>
      <w:r>
        <w:rPr>
          <w:bCs/>
          <w:b/>
        </w:rPr>
        <w:t xml:space="preserve">Turkey Istanbul</w:t>
      </w:r>
      <w:r>
        <w:t xml:space="preserve">, the boundary between public and private life is nuanced. An</w:t>
      </w:r>
      <w:r>
        <w:t xml:space="preserve"> </w:t>
      </w:r>
      <w:r>
        <w:rPr>
          <w:iCs/>
          <w:i/>
        </w:rPr>
        <w:t xml:space="preserve">Academic Researcher</w:t>
      </w:r>
      <w:r>
        <w:t xml:space="preserve"> </w:t>
      </w:r>
      <w:r>
        <w:t xml:space="preserve">must build trust (güven) before accessing sensitive data, a process that relies heavily on personal networks rather than institutional gatekeeping alone.</w:t>
      </w:r>
    </w:p>
    <w:p>
      <w:pPr>
        <w:numPr>
          <w:ilvl w:val="0"/>
          <w:numId w:val="1001"/>
        </w:numPr>
        <w:pStyle w:val="Compact"/>
      </w:pPr>
      <w:r>
        <w:t xml:space="preserve">Digital Infrastructure: The researcher must navigate the digital landscape of</w:t>
      </w:r>
      <w:r>
        <w:t xml:space="preserve"> </w:t>
      </w:r>
      <w:r>
        <w:rPr>
          <w:bCs/>
          <w:b/>
        </w:rPr>
        <w:t xml:space="preserve">Turkey Istanbul</w:t>
      </w:r>
      <w:r>
        <w:t xml:space="preserve">, including internet filtering issues and the dominance of specific social media platforms for data collection. This requires robust technical contingency planning.</w:t>
      </w:r>
    </w:p>
    <w:bookmarkEnd w:id="24"/>
    <w:bookmarkStart w:id="25" w:name="challenges-and-obstacles"/>
    <w:p>
      <w:pPr>
        <w:pStyle w:val="Heading2"/>
      </w:pPr>
      <w:r>
        <w:t xml:space="preserve">5. Challenges and Obstacles</w:t>
      </w:r>
    </w:p>
    <w:p>
      <w:pPr>
        <w:pStyle w:val="FirstParagraph"/>
      </w:pPr>
      <w:r>
        <w:t xml:space="preserve">No case study is complete without addressing significant hurdles. For the</w:t>
      </w:r>
      <w:r>
        <w:t xml:space="preserve"> </w:t>
      </w:r>
      <w:r>
        <w:rPr>
          <w:iCs/>
          <w:i/>
        </w:rPr>
        <w:t xml:space="preserve">Academic Researcher</w:t>
      </w:r>
      <w:r>
        <w:t xml:space="preserve"> </w:t>
      </w:r>
      <w:r>
        <w:t xml:space="preserve">in</w:t>
      </w:r>
      <w:r>
        <w:t xml:space="preserve"> </w:t>
      </w:r>
      <w:r>
        <w:rPr>
          <w:bCs/>
          <w:b/>
        </w:rPr>
        <w:t xml:space="preserve">Turkey Istanbul</w:t>
      </w:r>
      <w:r>
        <w:t xml:space="preserve">, financial constraints remain a primary challenge. Despite recent improvements in university funding, grant money often comes with strict bureaucratic requirements that can stifle creative inquiry.</w:t>
      </w:r>
    </w:p>
    <w:p>
      <w:pPr>
        <w:pStyle w:val="BodyText"/>
      </w:pPr>
      <w:r>
        <w:t xml:space="preserve">Furthermore, academic freedom is a recurring theme of debate. While major institutions pride themselves on autonomy, researchers must be acutely aware of the political climate. This self-regulation creates a subtle pressure that influences topic selection and publication outcomes. The researcher must balance intellectual honesty with professional safety, a tightrope walk that defines much of the current academic discourse in</w:t>
      </w:r>
      <w:r>
        <w:t xml:space="preserve"> </w:t>
      </w:r>
      <w:r>
        <w:rPr>
          <w:bCs/>
          <w:b/>
        </w:rPr>
        <w:t xml:space="preserve">Turkey Istanbul</w:t>
      </w:r>
      <w:r>
        <w:t xml:space="preserve">.</w:t>
      </w:r>
    </w:p>
    <w:p>
      <w:pPr>
        <w:pStyle w:val="BodyText"/>
      </w:pPr>
      <w:r>
        <w:t xml:space="preserve">Another significant challenge is brain drain. Many talented PhD candidates leave for opportunities in the US or Germany, depleting the local talent pool. The</w:t>
      </w:r>
      <w:r>
        <w:t xml:space="preserve"> </w:t>
      </w:r>
      <w:r>
        <w:rPr>
          <w:iCs/>
          <w:i/>
        </w:rPr>
        <w:t xml:space="preserve">Academic Researcher</w:t>
      </w:r>
      <w:r>
        <w:t xml:space="preserve"> </w:t>
      </w:r>
      <w:r>
        <w:t xml:space="preserve">often finds themselves mentoring students who intend to emigrate, leading to a cycle of knowledge transfer that benefits foreign institutions more than</w:t>
      </w:r>
      <w:r>
        <w:t xml:space="preserve"> </w:t>
      </w:r>
      <w:r>
        <w:rPr>
          <w:bCs/>
          <w:b/>
        </w:rPr>
        <w:t xml:space="preserve">Turkey Istanbul</w:t>
      </w:r>
      <w:r>
        <w:t xml:space="preserve">.</w:t>
      </w:r>
    </w:p>
    <w:bookmarkEnd w:id="25"/>
    <w:bookmarkStart w:id="26" w:name="opportunities-and-strategic-advantages"/>
    <w:p>
      <w:pPr>
        <w:pStyle w:val="Heading2"/>
      </w:pPr>
      <w:r>
        <w:t xml:space="preserve">6. Opportunities and Strategic Advantages</w:t>
      </w:r>
    </w:p>
    <w:p>
      <w:pPr>
        <w:pStyle w:val="FirstParagraph"/>
      </w:pPr>
      <w:r>
        <w:t xml:space="preserve">Despite these challenges, the advantages are profound. The strategic location of</w:t>
      </w:r>
      <w:r>
        <w:t xml:space="preserve"> </w:t>
      </w:r>
      <w:r>
        <w:rPr>
          <w:bCs/>
          <w:b/>
        </w:rPr>
        <w:t xml:space="preserve">Turkey Istanbul</w:t>
      </w:r>
    </w:p>
    <w:p>
      <w:pPr>
        <w:pStyle w:val="BodyText"/>
      </w:pPr>
      <w:r>
        <w:t xml:space="preserve">International collaboration is also strengthened by Istanbul’s status as a global hub. Conferences are frequent, attracting diverse viewpoints. An</w:t>
      </w:r>
      <w:r>
        <w:t xml:space="preserve"> </w:t>
      </w:r>
      <w:r>
        <w:rPr>
          <w:iCs/>
          <w:i/>
        </w:rPr>
        <w:t xml:space="preserve">Academic Researcher</w:t>
      </w:r>
      <w:r>
        <w:t xml:space="preserve"> </w:t>
      </w:r>
      <w:r>
        <w:t xml:space="preserve">can leverage this to form cross-continental partnerships that enrich their work and enhance visibility in top-tier journals.</w:t>
      </w:r>
    </w:p>
    <w:bookmarkEnd w:id="26"/>
    <w:bookmarkStart w:id="27" w:name="conclusion-and-recommendations"/>
    <w:p>
      <w:pPr>
        <w:pStyle w:val="Heading2"/>
      </w:pPr>
      <w:r>
        <w:t xml:space="preserve">7. Conclusion and Recommendations</w:t>
      </w:r>
    </w:p>
    <w:p>
      <w:pPr>
        <w:pStyle w:val="FirstParagraph"/>
      </w:pPr>
      <w:r>
        <w:t xml:space="preserve">In conclusion, the life of an Academic Researcher in</w:t>
      </w:r>
      <w:r>
        <w:t xml:space="preserve"> </w:t>
      </w:r>
      <w:r>
        <w:rPr>
          <w:bCs/>
          <w:b/>
        </w:rPr>
        <w:t xml:space="preserve">Turkey Istanbul</w:t>
      </w:r>
      <w:r>
        <w:t xml:space="preserve"> </w:t>
      </w:r>
      <w:r>
        <w:t xml:space="preserve">is a complex interplay of opportunity and constraint. It requires resilience, cultural intelligence, and methodological flexibility. To succeed, institutions must provide better funding stability to reduce bureaucratic friction.</w:t>
      </w:r>
    </w:p>
    <w:p>
      <w:pPr>
        <w:pStyle w:val="BodyText"/>
      </w:pPr>
      <w:r>
        <w:t xml:space="preserve">We recommend that future researchers entering this field invest heavily in local language acquisition and network building before initiating projects. Furthermore, policymakers in</w:t>
      </w:r>
      <w:r>
        <w:t xml:space="preserve"> </w:t>
      </w:r>
      <w:r>
        <w:rPr>
          <w:bCs/>
          <w:b/>
        </w:rPr>
        <w:t xml:space="preserve">Turkey Istanbul</w:t>
      </w:r>
      <w:r>
        <w:t xml:space="preserve"> </w:t>
      </w:r>
      <w:r>
        <w:t xml:space="preserve">should recognize the strategic value of academic autonomy to retain top talent. By addressing these structural issues,</w:t>
      </w:r>
      <w:r>
        <w:t xml:space="preserve"> </w:t>
      </w:r>
      <w:r>
        <w:rPr>
          <w:bCs/>
          <w:b/>
        </w:rPr>
        <w:t xml:space="preserve">Turkey Istanbul</w:t>
      </w:r>
      <w:r>
        <w:t xml:space="preserve"> </w:t>
      </w:r>
      <w:r>
        <w:t xml:space="preserve">can solidify its position as a leading global center for academic inquiry.</w:t>
      </w:r>
    </w:p>
    <w:p>
      <w:pPr>
        <w:pStyle w:val="BodyText"/>
      </w:pPr>
      <w:r>
        <w:t xml:space="preserve">This case study illustrates that the role of an Academic Researcher is not static; it is dynamically shaped by its environment. In</w:t>
      </w:r>
      <w:r>
        <w:t xml:space="preserve"> </w:t>
      </w:r>
      <w:r>
        <w:rPr>
          <w:bCs/>
          <w:b/>
        </w:rPr>
        <w:t xml:space="preserve">Turkey Istanbul</w:t>
      </w:r>
      <w:r>
        <w:t xml:space="preserve">, that environment demands a scholar who is as much a diplomat and cultural interpreter as they are a scientist.</w:t>
      </w:r>
    </w:p>
    <w:p>
      <w:pPr>
        <w:pStyle w:val="BodyText"/>
      </w:pPr>
      <w:r>
        <w:rPr>
          <w:bCs/>
          <w:b/>
        </w:rPr>
        <w:t xml:space="preserve">Key Takeaway:</w:t>
      </w:r>
      <w:r>
        <w:t xml:space="preserve"> </w:t>
      </w:r>
      <w:r>
        <w:t xml:space="preserve">Success for an Academic Researcher in Turkey Istanbul depends on integrating local cultural nuances into global research standards, transforming the unique challenges of the region into distinctive intellectual assets.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Turkey Istanbul</dc:title>
  <dc:creator/>
  <dc:language>en</dc:language>
  <cp:keywords/>
  <dcterms:created xsi:type="dcterms:W3CDTF">2026-07-29T07:37:34Z</dcterms:created>
  <dcterms:modified xsi:type="dcterms:W3CDTF">2026-07-29T07:37:34Z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