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The</w:t>
      </w:r>
      <w:r>
        <w:t xml:space="preserve"> </w:t>
      </w:r>
      <w:r>
        <w:t xml:space="preserve">Academic</w:t>
      </w:r>
      <w:r>
        <w:t xml:space="preserve"> </w:t>
      </w:r>
      <w:r>
        <w:t xml:space="preserve">Researcher</w:t>
      </w:r>
      <w:r>
        <w:t xml:space="preserve"> </w:t>
      </w:r>
      <w:r>
        <w:t xml:space="preserve">in</w:t>
      </w:r>
      <w:r>
        <w:t xml:space="preserve"> </w:t>
      </w:r>
      <w:r>
        <w:t xml:space="preserve">Uzbekistan</w:t>
      </w:r>
      <w:r>
        <w:t xml:space="preserve"> </w:t>
      </w:r>
      <w:r>
        <w:t xml:space="preserve">Tashkent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The Academic Researcher in Uzbekistan Tashkent</dc:title>
  <dc:creator/>
  <dc:language>en</dc:language>
  <cp:keywords/>
  <dcterms:created xsi:type="dcterms:W3CDTF">2026-09-27T02:20:59Z</dcterms:created>
  <dcterms:modified xsi:type="dcterms:W3CDTF">2026-09-27T02:20:59Z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