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Exporting</w:t>
      </w:r>
      <w:r>
        <w:t xml:space="preserve"> </w:t>
      </w:r>
      <w:r>
        <w:t xml:space="preserve">SME</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43b5f7494c7a81ed0de0873878d614b890013e7"/>
    <w:p>
      <w:pPr>
        <w:pStyle w:val="Heading1"/>
      </w:pPr>
      <w:r>
        <w:t xml:space="preserve">Case Study: Navigating Economic Volatility in Argentina Buenos Aires</w:t>
      </w:r>
    </w:p>
    <w:p>
      <w:pPr>
        <w:pStyle w:val="FirstParagraph"/>
      </w:pPr>
      <w:r>
        <w:rPr>
          <w:bCs/>
          <w:b/>
        </w:rPr>
        <w:t xml:space="preserve">The Role of the Strategic Accountant</w:t>
      </w:r>
    </w:p>
    <w:p>
      <w:pPr>
        <w:pStyle w:val="BodyText"/>
      </w:pPr>
      <w:r>
        <w:rPr>
          <w:bCs/>
          <w:b/>
        </w:rPr>
        <w:t xml:space="preserve">Date:</w:t>
      </w:r>
      <w:r>
        <w:t xml:space="preserve"> </w:t>
      </w:r>
      <w:r>
        <w:t xml:space="preserve">October 2023</w:t>
      </w:r>
      <w:r>
        <w:br/>
      </w:r>
      <w:r>
        <w:rPr>
          <w:bCs/>
          <w:b/>
        </w:rPr>
        <w:t xml:space="preserve">Location:</w:t>
      </w:r>
      <w:r>
        <w:t xml:space="preserve"> </w:t>
      </w:r>
      <w:r>
        <w:t xml:space="preserve">Argentina, Buenos Aires</w:t>
      </w:r>
      <w:r>
        <w:br/>
      </w:r>
      <w:r>
        <w:rPr>
          <w:bCs/>
          <w:b/>
        </w:rPr>
        <w:t xml:space="preserve">Contact Person:</w:t>
      </w:r>
      <w:r>
        <w:t xml:space="preserve"> </w:t>
      </w:r>
      <w:r>
        <w:t xml:space="preserve">Maria Elena Rodriguez (CFO)</w:t>
      </w:r>
      <w:r>
        <w:br/>
      </w:r>
      <w:r>
        <w:rPr>
          <w:iCs/>
          <w:i/>
        </w:rPr>
        <w:t xml:space="preserve">This Case Study examines how a local manufacturing firm utilized professional accounting expertise to survive and thrive amidst the complex economic landscape of Argentina Buenos Aires.</w:t>
      </w:r>
    </w:p>
    <w:bookmarkStart w:id="20" w:name="executive-summary"/>
    <w:p>
      <w:pPr>
        <w:pStyle w:val="Heading2"/>
      </w:pPr>
      <w:r>
        <w:t xml:space="preserve">1. Executive Summary</w:t>
      </w:r>
    </w:p>
    <w:p>
      <w:pPr>
        <w:pStyle w:val="FirstParagraph"/>
      </w:pPr>
      <w:r>
        <w:t xml:space="preserve">In the heart of South America, specifically within the bustling commercial capital known as Argentina Buenos Aires, small and medium-sized enterprises (SMEs) face a unique set of financial challenges. This document presents a comprehensive Case Study focused on "TechPack S.A.," a mid-sized exporter of leather goods located in Palermo, Argentina Buenos Aires. The narrative highlights the critical role played by their external</w:t>
      </w:r>
      <w:r>
        <w:t xml:space="preserve"> </w:t>
      </w:r>
      <w:r>
        <w:rPr>
          <w:bCs/>
          <w:b/>
        </w:rPr>
        <w:t xml:space="preserve">Accountant</w:t>
      </w:r>
      <w:r>
        <w:t xml:space="preserve"> </w:t>
      </w:r>
      <w:r>
        <w:t xml:space="preserve">in restructuring debt, optimizing tax liabilities under local laws, and navigating hyperinflationary pressures.</w:t>
      </w:r>
    </w:p>
    <w:p>
      <w:pPr>
        <w:pStyle w:val="BodyText"/>
      </w:pPr>
      <w:r>
        <w:t xml:space="preserve">The primary objective of this Case Study is to demonstrate that effective financial stewardship is not merely about bookkeeping; it is a survival strategy in emerging markets. By focusing on the specific regulatory and economic environment of Argentina Buenos Aires, we illustrate how proactive financial management can turn potential crises into opportunities for growth.</w:t>
      </w:r>
    </w:p>
    <w:bookmarkEnd w:id="20"/>
    <w:bookmarkStart w:id="21" w:name="company-background"/>
    <w:p>
      <w:pPr>
        <w:pStyle w:val="Heading2"/>
      </w:pPr>
      <w:r>
        <w:t xml:space="preserve">2. Company Background</w:t>
      </w:r>
    </w:p>
    <w:p>
      <w:pPr>
        <w:pStyle w:val="FirstParagraph"/>
      </w:pPr>
      <w:r>
        <w:t xml:space="preserve">TechPack S.A. was established in 1995 and has grown to become a significant supplier to major European fashion retailers. Headquartered in the trendy yet industrious district of Palermo, Argentina Buenos Aires, the company employs approximately 150 staff members. While its brand is global, its operational footprint is deeply rooted in local Argentine culture and infrastructure.</w:t>
      </w:r>
    </w:p>
    <w:p>
      <w:pPr>
        <w:pStyle w:val="BodyText"/>
      </w:pPr>
      <w:r>
        <w:t xml:space="preserve">For decades, TechPack operated on traditional accounting models suitable for stable economies. However, starting in early 2023, the company faced severe headwinds typical of the broader Argentine economy: double-digit inflation rates, currency devaluation against the US Dollar, and complex regulatory changes introduced by federal authorities affecting exporters in Argentina Buenos Aires.</w:t>
      </w:r>
    </w:p>
    <w:bookmarkEnd w:id="21"/>
    <w:bookmarkStart w:id="22" w:name="the-challenge"/>
    <w:p>
      <w:pPr>
        <w:pStyle w:val="Heading2"/>
      </w:pPr>
      <w:r>
        <w:t xml:space="preserve">3. The Challenge</w:t>
      </w:r>
    </w:p>
    <w:p>
      <w:pPr>
        <w:pStyle w:val="FirstParagraph"/>
      </w:pPr>
      <w:r>
        <w:t xml:space="preserve">The financial team at TechPack S.A. identified three critical threats that jeopardized their solvency:</w:t>
      </w:r>
    </w:p>
    <w:p>
      <w:pPr>
        <w:numPr>
          <w:ilvl w:val="0"/>
          <w:numId w:val="1001"/>
        </w:numPr>
        <w:pStyle w:val="Compact"/>
      </w:pPr>
      <w:r>
        <w:rPr>
          <w:bCs/>
          <w:b/>
        </w:rPr>
        <w:t xml:space="preserve">Currency Risk:</w:t>
      </w:r>
      <w:r>
        <w:t xml:space="preserve"> </w:t>
      </w:r>
      <w:r>
        <w:t xml:space="preserve">As an exporter, they earned in USD but paid local costs (labor, rent in Argentina Buenos Aires) in Argentine Pesos. The rapid devaluation of the Peso meant that repatriating profits or converting earnings became increasingly difficult and costly.</w:t>
      </w:r>
    </w:p>
    <w:p>
      <w:pPr>
        <w:numPr>
          <w:ilvl w:val="0"/>
          <w:numId w:val="1001"/>
        </w:numPr>
        <w:pStyle w:val="Compact"/>
      </w:pPr>
      <w:r>
        <w:rPr>
          <w:bCs/>
          <w:b/>
        </w:rPr>
        <w:t xml:space="preserve">Tax Compliance Complexity:</w:t>
      </w:r>
      <w:r>
        <w:t xml:space="preserve"> </w:t>
      </w:r>
      <w:r>
        <w:t xml:space="preserve">The tax code in Argentina is notoriously complex, with frequent adjustments to VAT (IVA), income tax brackets, and specific levies on exports. Failure to comply strictly could result in severe penalties from the AFIP (Administración Federal de Ingresos Públicos).</w:t>
      </w:r>
    </w:p>
    <w:p>
      <w:pPr>
        <w:numPr>
          <w:ilvl w:val="0"/>
          <w:numId w:val="1001"/>
        </w:numPr>
        <w:pStyle w:val="Compact"/>
      </w:pPr>
      <w:r>
        <w:rPr>
          <w:bCs/>
          <w:b/>
        </w:rPr>
        <w:t xml:space="preserve">Cash Flow Management:</w:t>
      </w:r>
      <w:r>
        <w:t xml:space="preserve"> </w:t>
      </w:r>
      <w:r>
        <w:t xml:space="preserve">High inflation eroded working capital. Inventory costs rose faster than sales prices, creating a liquidity crunch that threatened daily operations.</w:t>
      </w:r>
    </w:p>
    <w:p>
      <w:pPr>
        <w:pStyle w:val="FirstParagraph"/>
      </w:pPr>
      <w:r>
        <w:t xml:space="preserve">The internal team lacked the specialized expertise to navigate these nuances effectively. They required a seasoned</w:t>
      </w:r>
      <w:r>
        <w:t xml:space="preserve"> </w:t>
      </w:r>
      <w:r>
        <w:rPr>
          <w:bCs/>
          <w:b/>
        </w:rPr>
        <w:t xml:space="preserve">Accountant</w:t>
      </w:r>
      <w:r>
        <w:t xml:space="preserve"> </w:t>
      </w:r>
      <w:r>
        <w:t xml:space="preserve">who understood not just international standards (IFRS), but the idiosyncratic realities of doing business in Argentina Buenos Aires.</w:t>
      </w:r>
    </w:p>
    <w:bookmarkEnd w:id="22"/>
    <w:bookmarkStart w:id="26" w:name="Xab09945b37ea76ad690aabc01f19f6d2effb512"/>
    <w:p>
      <w:pPr>
        <w:pStyle w:val="Heading2"/>
      </w:pPr>
      <w:r>
        <w:t xml:space="preserve">4. The Solution: A Strategic Approach by an Expert Accountant</w:t>
      </w:r>
    </w:p>
    <w:p>
      <w:pPr>
        <w:pStyle w:val="FirstParagraph"/>
      </w:pPr>
      <w:r>
        <w:t xml:space="preserve">TechPack S.A. engaged a boutique accounting firm specializing in international trade and local compliance within Argentina Buenos Aires. The appointed Lead</w:t>
      </w:r>
      <w:r>
        <w:t xml:space="preserve"> </w:t>
      </w:r>
      <w:r>
        <w:rPr>
          <w:bCs/>
          <w:b/>
        </w:rPr>
        <w:t xml:space="preserve">Accountant</w:t>
      </w:r>
      <w:r>
        <w:t xml:space="preserve">, Jorge Mendez, implemented a multi-pronged strategy:</w:t>
      </w:r>
    </w:p>
    <w:bookmarkStart w:id="23" w:name="a.-hedging-and-currency-structuring"/>
    <w:p>
      <w:pPr>
        <w:pStyle w:val="Heading3"/>
      </w:pPr>
      <w:r>
        <w:t xml:space="preserve">A. Hedging and Currency Structuring</w:t>
      </w:r>
    </w:p>
    <w:p>
      <w:pPr>
        <w:pStyle w:val="FirstParagraph"/>
      </w:pPr>
      <w:r>
        <w:t xml:space="preserve">Mendez worked closely with the CFO to establish a robust hedging strategy. Using financial instruments available to exporters in Argentina Buenos Aires, they locked in exchange rates for future receivables where possible. Furthermore, he restructured their invoicing timeline to ensure quicker conversion of foreign currency into local operational funds before further devaluation occurred.</w:t>
      </w:r>
    </w:p>
    <w:bookmarkEnd w:id="23"/>
    <w:bookmarkStart w:id="24" w:name="b.-tax-optimization-and-compliance"/>
    <w:p>
      <w:pPr>
        <w:pStyle w:val="Heading3"/>
      </w:pPr>
      <w:r>
        <w:t xml:space="preserve">B. Tax Optimization and Compliance</w:t>
      </w:r>
    </w:p>
    <w:p>
      <w:pPr>
        <w:pStyle w:val="FirstParagraph"/>
      </w:pPr>
      <w:r>
        <w:t xml:space="preserve">The new accounting framework involved a thorough audit of previous filings. Mendez identified several eligible tax credits for R&amp;D and export incentives that TechPack had missed due to bureaucratic oversights. He ensured that all documentation met the strict requirements of AFIP, reducing the risk of audits and fines. This proactive compliance was crucial for maintaining good standing in the financial community of Argentina Buenos Aires.</w:t>
      </w:r>
    </w:p>
    <w:bookmarkEnd w:id="24"/>
    <w:bookmarkStart w:id="25" w:name="c.-inventory-valuation-adjustment"/>
    <w:p>
      <w:pPr>
        <w:pStyle w:val="Heading3"/>
      </w:pPr>
      <w:r>
        <w:t xml:space="preserve">C. Inventory Valuation Adjustment</w:t>
      </w:r>
    </w:p>
    <w:p>
      <w:pPr>
        <w:pStyle w:val="FirstParagraph"/>
      </w:pPr>
      <w:r>
        <w:t xml:space="preserve">To combat inflation, Mendez moved away from historical cost accounting for inventory valuation where permissible under local GAAP adjustments for inflationary economies. By adjusting asset values to reflect current replacement costs, the company gained a clearer picture of its true equity and could make more informed pricing decisions.</w:t>
      </w:r>
    </w:p>
    <w:bookmarkEnd w:id="25"/>
    <w:bookmarkEnd w:id="26"/>
    <w:bookmarkStart w:id="28" w:name="implementation-and-results"/>
    <w:p>
      <w:pPr>
        <w:pStyle w:val="Heading2"/>
      </w:pPr>
      <w:r>
        <w:t xml:space="preserve">5. Implementation and Results</w:t>
      </w:r>
    </w:p>
    <w:p>
      <w:pPr>
        <w:pStyle w:val="FirstParagraph"/>
      </w:pPr>
      <w:r>
        <w:t xml:space="preserve">The implementation phase took six months. The collaboration between TechPack’s management and their external</w:t>
      </w:r>
      <w:r>
        <w:t xml:space="preserve"> </w:t>
      </w:r>
      <w:r>
        <w:rPr>
          <w:bCs/>
          <w:b/>
        </w:rPr>
        <w:t xml:space="preserve">Accountant</w:t>
      </w:r>
      <w:r>
        <w:t xml:space="preserve"> </w:t>
      </w:r>
      <w:r>
        <w:t xml:space="preserve">was intensive. Monthly meetings were held to review cash flow projections against the volatile market conditions in Argentina Buenos Aires.</w:t>
      </w:r>
    </w:p>
    <w:bookmarkStart w:id="27" w:name="key-outcomes"/>
    <w:p>
      <w:pPr>
        <w:pStyle w:val="Heading3"/>
      </w:pPr>
      <w:r>
        <w:t xml:space="preserve">Key Outcomes:</w:t>
      </w:r>
    </w:p>
    <w:p>
      <w:pPr>
        <w:numPr>
          <w:ilvl w:val="0"/>
          <w:numId w:val="1002"/>
        </w:numPr>
        <w:pStyle w:val="Compact"/>
      </w:pPr>
      <w:r>
        <w:rPr>
          <w:bCs/>
          <w:b/>
        </w:rPr>
        <w:t xml:space="preserve">Liquidity Improvement:</w:t>
      </w:r>
      <w:r>
        <w:t xml:space="preserve"> </w:t>
      </w:r>
      <w:r>
        <w:t xml:space="preserve">Cash reserves increased by 25% within the first quarter of implementation, providing a buffer against further economic shocks.</w:t>
      </w:r>
    </w:p>
    <w:p>
      <w:pPr>
        <w:numPr>
          <w:ilvl w:val="0"/>
          <w:numId w:val="1002"/>
        </w:numPr>
        <w:pStyle w:val="Compact"/>
      </w:pPr>
      <w:r>
        <w:rPr>
          <w:bCs/>
          <w:b/>
        </w:rPr>
        <w:t xml:space="preserve">Tax Savings:</w:t>
      </w:r>
      <w:r>
        <w:t xml:space="preserve"> </w:t>
      </w:r>
      <w:r>
        <w:t xml:space="preserve">The company recovered $150,000 USD in previously unclaimed tax credits and avoided potential penalties estimated at $50,000 USD.</w:t>
      </w:r>
    </w:p>
    <w:p>
      <w:pPr>
        <w:numPr>
          <w:ilvl w:val="0"/>
          <w:numId w:val="1002"/>
        </w:numPr>
        <w:pStyle w:val="Compact"/>
      </w:pPr>
      <w:r>
        <w:rPr>
          <w:bCs/>
          <w:b/>
        </w:rPr>
        <w:t xml:space="preserve">Better Decision Making:</w:t>
      </w:r>
      <w:r>
        <w:t xml:space="preserve"> </w:t>
      </w:r>
      <w:r>
        <w:t xml:space="preserve">Management gained real-time insights into profitability per product line, allowing them to discontinue low-margin items that were suffering most from inflation.</w:t>
      </w:r>
    </w:p>
    <w:p>
      <w:pPr>
        <w:pStyle w:val="FirstParagraph"/>
      </w:pPr>
      <w:r>
        <w:t xml:space="preserve">The transparency provided by the new accounting system also improved TechPack’s credit rating with local banks in Argentina Buenos Aires, allowing them to secure a favorable loan facility for expanding their production capacity.</w:t>
      </w:r>
    </w:p>
    <w:bookmarkEnd w:id="27"/>
    <w:bookmarkEnd w:id="28"/>
    <w:bookmarkStart w:id="29" w:name="discussion-and-analysis"/>
    <w:p>
      <w:pPr>
        <w:pStyle w:val="Heading2"/>
      </w:pPr>
      <w:r>
        <w:t xml:space="preserve">6. Discussion and Analysis</w:t>
      </w:r>
    </w:p>
    <w:p>
      <w:pPr>
        <w:pStyle w:val="FirstParagraph"/>
      </w:pPr>
      <w:r>
        <w:t xml:space="preserve">This Case Study underscores that in an environment like Argentina Buenos Aires, the role of the</w:t>
      </w:r>
      <w:r>
        <w:t xml:space="preserve"> </w:t>
      </w:r>
      <w:r>
        <w:rPr>
          <w:bCs/>
          <w:b/>
        </w:rPr>
        <w:t xml:space="preserve">Accountant</w:t>
      </w:r>
      <w:r>
        <w:t xml:space="preserve"> </w:t>
      </w:r>
      <w:r>
        <w:t xml:space="preserve">transcends traditional reporting. The accountant acts as a strategic partner, interpreting regulatory changes and economic indicators to guide business decisions.</w:t>
      </w:r>
    </w:p>
    <w:p>
      <w:pPr>
        <w:pStyle w:val="BodyText"/>
      </w:pPr>
      <w:r>
        <w:t xml:space="preserve">The volatility inherent in the Argentine market requires a flexible approach to finance. Static accounting policies fail in such environments. Instead, dynamic modeling and constant adaptation are necessary. Companies operating in Argentina Buenos Aires must view their financial department not as a cost center, but as a vital risk management hub.</w:t>
      </w:r>
    </w:p>
    <w:bookmarkEnd w:id="29"/>
    <w:bookmarkStart w:id="30" w:name="conclusion"/>
    <w:p>
      <w:pPr>
        <w:pStyle w:val="Heading2"/>
      </w:pPr>
      <w:r>
        <w:t xml:space="preserve">7. Conclusion</w:t>
      </w:r>
    </w:p>
    <w:p>
      <w:pPr>
        <w:pStyle w:val="FirstParagraph"/>
      </w:pPr>
      <w:r>
        <w:t xml:space="preserve">The experience of TechPack S.A. serves as a powerful illustration for other businesses considering expansion into or already operating within Argentina Buenos Aires. The complexity of the local economic landscape demands specialized knowledge.</w:t>
      </w:r>
    </w:p>
    <w:p>
      <w:pPr>
        <w:pStyle w:val="BodyText"/>
      </w:pPr>
      <w:r>
        <w:t xml:space="preserve">The synergy between forward-thinking management and an expert</w:t>
      </w:r>
      <w:r>
        <w:t xml:space="preserve"> </w:t>
      </w:r>
      <w:r>
        <w:rPr>
          <w:bCs/>
          <w:b/>
        </w:rPr>
        <w:t xml:space="preserve">Accountant</w:t>
      </w:r>
      <w:r>
        <w:t xml:space="preserve"> </w:t>
      </w:r>
      <w:r>
        <w:t xml:space="preserve">proved to be the differentiator that allowed TechPack to not only survive but thrive. For stakeholders evaluating opportunities in this region, this Case Study highlights that professional financial guidance is indispensable for sustainable success in Argentina Buenos Aires.</w:t>
      </w:r>
    </w:p>
    <w:p>
      <w:pPr>
        <w:pStyle w:val="BodyText"/>
      </w:pPr>
      <w:r>
        <w:rPr>
          <w:bCs/>
          <w:b/>
        </w:rPr>
        <w:t xml:space="preserve">Key Takeaway:</w:t>
      </w:r>
      <w:r>
        <w:br/>
      </w:r>
      <w:r>
        <w:t xml:space="preserve">In the face of economic uncertainty, the strategic intervention of a qualified Accountant is crucial for protecting assets and ensuring compliance in the dynamic business environment of Argentina Buenos Aires.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an Exporting SME in Argentina Buenos Aires</dc:title>
  <dc:creator/>
  <dc:language>en</dc:language>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