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Financial</w:t>
      </w:r>
      <w:r>
        <w:t xml:space="preserve"> </w:t>
      </w:r>
      <w:r>
        <w:t xml:space="preserve">Landscape</w:t>
      </w:r>
      <w:r>
        <w:t xml:space="preserve"> </w:t>
      </w:r>
      <w:r>
        <w:t xml:space="preserve">for</w:t>
      </w:r>
      <w:r>
        <w:t xml:space="preserve"> </w:t>
      </w:r>
      <w:r>
        <w:t xml:space="preserve">an</w:t>
      </w:r>
      <w:r>
        <w:t xml:space="preserve"> </w:t>
      </w:r>
      <w:r>
        <w:t xml:space="preserve">Accountant</w:t>
      </w:r>
      <w:r>
        <w:t xml:space="preserve"> </w:t>
      </w:r>
      <w:r>
        <w:t xml:space="preserve">in</w:t>
      </w:r>
      <w:r>
        <w:t xml:space="preserve"> </w:t>
      </w:r>
      <w:r>
        <w:t xml:space="preserve">Argentina</w:t>
      </w:r>
      <w:r>
        <w:t xml:space="preserve"> </w:t>
      </w:r>
      <w:r>
        <w:t xml:space="preserve">Córdoba</w:t>
      </w:r>
    </w:p>
    <w:bookmarkStart w:id="29" w:name="X6a10ad634a2fbe788c629fa5e906a73c7bae30a"/>
    <w:p>
      <w:pPr>
        <w:pStyle w:val="Heading1"/>
      </w:pPr>
      <w:r>
        <w:t xml:space="preserve">Case Study: Strategic Financial Management for an Accountant in Argentina Córdoba</w:t>
      </w:r>
    </w:p>
    <w:p>
      <w:pPr>
        <w:pStyle w:val="FirstParagraph"/>
      </w:pPr>
      <w:r>
        <w:rPr>
          <w:bCs/>
          <w:b/>
        </w:rPr>
        <w:t xml:space="preserve">Date:</w:t>
      </w:r>
      <w:r>
        <w:t xml:space="preserve"> </w:t>
      </w:r>
      <w:r>
        <w:t xml:space="preserve">October 2023</w:t>
      </w:r>
      <w:r>
        <w:br/>
      </w:r>
      <w:r>
        <w:t xml:space="preserve">Córdoba, Argentina</w:t>
      </w:r>
      <w:r>
        <w:br/>
      </w:r>
      <w:r>
        <w:br/>
      </w:r>
      <w:r>
        <w:t xml:space="preserve">An Analysis of the Role and Challenges Faced by a Professional Accountant Operating within the Unique Economic Context of Córdoba Province.</w:t>
      </w:r>
    </w:p>
    <w:bookmarkStart w:id="20" w:name="introduction"/>
    <w:p>
      <w:pPr>
        <w:pStyle w:val="Heading2"/>
      </w:pPr>
      <w:r>
        <w:t xml:space="preserve">1. Introduction</w:t>
      </w:r>
    </w:p>
    <w:p>
      <w:pPr>
        <w:pStyle w:val="FirstParagraph"/>
      </w:pPr>
      <w:r>
        <w:t xml:space="preserve">The province of Córdoba stands as one of the most significant economic hubs in Argentina, second only to Buenos Aires in terms industrial output, technological innovation, and educational capacity. Within this vibrant ecosystem, the role of the</w:t>
      </w:r>
      <w:r>
        <w:t xml:space="preserve"> </w:t>
      </w:r>
      <w:r>
        <w:rPr>
          <w:bCs/>
          <w:b/>
        </w:rPr>
        <w:t xml:space="preserve">Accountant</w:t>
      </w:r>
      <w:r>
        <w:t xml:space="preserve"> transcends mere bookkeeping; it becomes a strategic imperative for businesses navigating a complex macroeconomic environment. This case study examines the operational realities faced by an independent accounting firm based in downtown Córdoba, focusing on how local regulatory frameworks and national economic volatility shape professional practice.</w:t>
      </w:r>
    </w:p>
    <w:p>
      <w:pPr>
        <w:pStyle w:val="BodyText"/>
      </w:pPr>
      <w:r>
        <w:t xml:space="preserve">Córdoba is often referred to as the "Silicon Valley" of Argentina due to its robust technology sector and university presence. Consequently, clients range from traditional agricultural exporters in the surrounding rural areas to high-growth software startups in the city center. The diversity of this client base requires a versatile</w:t>
      </w:r>
      <w:r>
        <w:t xml:space="preserve"> </w:t>
      </w:r>
      <w:r>
        <w:rPr>
          <w:bCs/>
          <w:b/>
        </w:rPr>
        <w:t xml:space="preserve">Accountant</w:t>
      </w:r>
      <w:r>
        <w:t xml:space="preserve"> who possesses deep knowledge of both international trade laws and local tax incentives designed to foster technological development.</w:t>
      </w:r>
    </w:p>
    <w:bookmarkEnd w:id="20"/>
    <w:bookmarkStart w:id="21" w:name="profile-the-professional-context"/>
    <w:p>
      <w:pPr>
        <w:pStyle w:val="Heading2"/>
      </w:pPr>
      <w:r>
        <w:t xml:space="preserve">2. Profile: The Professional Context</w:t>
      </w:r>
    </w:p>
    <w:p>
      <w:pPr>
        <w:pStyle w:val="FirstParagraph"/>
      </w:pPr>
      <w:r>
        <w:t xml:space="preserve">The subject of this study is "Córdoba Finanza &amp; Asociados," a mid-sized accounting firm established in 2015. The firm employs ten certified professionals specializing in fiscal planning, auditing, and payroll management for the Argentine market. Located strategically near the Faculty of Economic Sciences at UNC (National University of Córdoba), the firm leverages academic partnerships to stay ahead of regulatory changes.</w:t>
      </w:r>
    </w:p>
    <w:p>
      <w:pPr>
        <w:pStyle w:val="BodyText"/>
      </w:pPr>
      <w:r>
        <w:t xml:space="preserve">In Argentina Córdoba, as in the rest of the country, accountants are members of a Professional College (</w:t>
      </w:r>
      <w:r>
        <w:rPr>
          <w:iCs/>
          <w:i/>
        </w:rPr>
        <w:t xml:space="preserve">Colegio Profesional de Ciencias Económicas</w:t>
      </w:r>
      <w:r>
        <w:t xml:space="preserve">). This membership is mandatory and grants exclusive rights to sign tax returns and issue legal financial statements. The authority in Córdoba operates under provincial laws that interact with national directives from AFIP (Administración Federal de Ingresos Públicos), creating a dual-layer compliance burden.</w:t>
      </w:r>
    </w:p>
    <w:bookmarkEnd w:id="21"/>
    <w:bookmarkStart w:id="25" w:name="challenges-faced"/>
    <w:p>
      <w:pPr>
        <w:pStyle w:val="Heading2"/>
      </w:pPr>
      <w:r>
        <w:t xml:space="preserve">3. Challenges Faced</w:t>
      </w:r>
    </w:p>
    <w:bookmarkStart w:id="22" w:name="X5b0dfc59c1f885c5bbb9fd369f0bf0692f2daae"/>
    <w:p>
      <w:pPr>
        <w:pStyle w:val="Heading3"/>
      </w:pPr>
      <w:r>
        <w:t xml:space="preserve">3.1 Macroeconomic Volatility and Hyperinflation</w:t>
      </w:r>
    </w:p>
    <w:p>
      <w:pPr>
        <w:pStyle w:val="FirstParagraph"/>
      </w:pPr>
      <w:r>
        <w:t xml:space="preserve">The most pressing challenge for any</w:t>
      </w:r>
      <w:r>
        <w:t xml:space="preserve"> </w:t>
      </w:r>
      <w:r>
        <w:rPr>
          <w:bCs/>
          <w:b/>
        </w:rPr>
        <w:t xml:space="preserve">Accountant</w:t>
      </w:r>
      <w:r>
        <w:t xml:space="preserve"> working in Argentina Córdoba today is hyperinflation. With inflation rates frequently exceeding 100% annually, traditional accounting methods based on historical cost become obsolete quickly. The firm must constantly adapt its reporting mechanisms to reflect current monetary reality (ICV - Current Cost Valuation). This requires sophisticated software integration and frequent communication with clients about cash flow management to prevent erosion of capital.</w:t>
      </w:r>
    </w:p>
    <w:bookmarkEnd w:id="22"/>
    <w:bookmarkStart w:id="23" w:name="complex-tax-regime"/>
    <w:p>
      <w:pPr>
        <w:pStyle w:val="Heading3"/>
      </w:pPr>
      <w:r>
        <w:t xml:space="preserve">3.2 Complex Tax Regime</w:t>
      </w:r>
    </w:p>
    <w:p>
      <w:pPr>
        <w:pStyle w:val="FirstParagraph"/>
      </w:pPr>
      <w:r>
        <w:t xml:space="preserve">The tax code in Argentina is notoriously fragmented. For an</w:t>
      </w:r>
      <w:r>
        <w:t xml:space="preserve"> </w:t>
      </w:r>
      <w:r>
        <w:rPr>
          <w:bCs/>
          <w:b/>
        </w:rPr>
        <w:t xml:space="preserve">Accountant</w:t>
      </w:r>
      <w:r>
        <w:t xml:space="preserve"> in Córdoba, this means navigating:</w:t>
      </w:r>
    </w:p>
    <w:p>
      <w:pPr>
        <w:numPr>
          <w:ilvl w:val="0"/>
          <w:numId w:val="1001"/>
        </w:numPr>
        <w:pStyle w:val="Compact"/>
      </w:pPr>
      <w:r>
        <w:rPr>
          <w:bCs/>
          <w:b/>
        </w:rPr>
        <w:t xml:space="preserve">National Taxes:</w:t>
      </w:r>
    </w:p>
    <w:p>
      <w:pPr>
        <w:numPr>
          <w:ilvl w:val="0"/>
          <w:numId w:val="1001"/>
        </w:numPr>
        <w:pStyle w:val="Compact"/>
      </w:pPr>
      <w:r>
        <w:rPr>
          <w:bCs/>
          <w:b/>
        </w:rPr>
        <w:t xml:space="preserve">Municipal Levies:</w:t>
      </w:r>
    </w:p>
    <w:p>
      <w:pPr>
        <w:pStyle w:val="FirstParagraph"/>
      </w:pPr>
      <w:r>
        <w:t xml:space="preserve">This multi-tiered system demands precise categorization. A mistake in classifying a transaction can lead to significant penalties from either the provincial tax authority or AFIP. The</w:t>
      </w:r>
      <w:r>
        <w:t xml:space="preserve"> </w:t>
      </w:r>
      <w:r>
        <w:rPr>
          <w:bCs/>
          <w:b/>
        </w:rPr>
        <w:t xml:space="preserve">Accountant</w:t>
      </w:r>
      <w:r>
        <w:t xml:space="preserve"> must act as a forensic analyst, ensuring every peso is allocated correctly across these jurisdictions.</w:t>
      </w:r>
    </w:p>
    <w:bookmarkEnd w:id="23"/>
    <w:bookmarkStart w:id="24" w:name="regulatory-flux"/>
    <w:p>
      <w:pPr>
        <w:pStyle w:val="Heading3"/>
      </w:pPr>
      <w:r>
        <w:t xml:space="preserve">3.3 Regulatory Flux</w:t>
      </w:r>
    </w:p>
    <w:p>
      <w:pPr>
        <w:pStyle w:val="FirstParagraph"/>
      </w:pPr>
      <w:r>
        <w:t xml:space="preserve">The Argentine regulatory landscape is characterized by sudden decrees and emergency measures. In recent years, the government has implemented currency controls (</w:t>
      </w:r>
      <w:r>
        <w:rPr>
          <w:iCs/>
          <w:i/>
        </w:rPr>
        <w:t xml:space="preserve">Cepo Cambiario</w:t>
      </w:r>
      <w:r>
        <w:t xml:space="preserve">) that restrict access to foreign currency for imports and dividend repatriation. For exporters in Córdoba’s agricultural belt, the</w:t>
      </w:r>
      <w:r>
        <w:t xml:space="preserve"> </w:t>
      </w:r>
      <w:r>
        <w:rPr>
          <w:bCs/>
          <w:b/>
        </w:rPr>
        <w:t xml:space="preserve">Accountant</w:t>
      </w:r>
      <w:r>
        <w:t xml:space="preserve"> plays a critical role in managing exchange rate differentials and ensuring compliance with forced surrender obligations.</w:t>
      </w:r>
    </w:p>
    <w:bookmarkEnd w:id="24"/>
    <w:bookmarkEnd w:id="25"/>
    <w:bookmarkStart w:id="26" w:name="strategic-solutions-implemented"/>
    <w:p>
      <w:pPr>
        <w:pStyle w:val="Heading2"/>
      </w:pPr>
      <w:r>
        <w:t xml:space="preserve">4. Strategic Solutions Implemented</w:t>
      </w:r>
    </w:p>
    <w:p>
      <w:pPr>
        <w:pStyle w:val="FirstParagraph"/>
      </w:pPr>
      <w:r>
        <w:t xml:space="preserve">To address these challenges, Córdoba Finanza &amp; Asociados implemented several strategic initiatives:</w:t>
      </w:r>
    </w:p>
    <w:p>
      <w:pPr>
        <w:numPr>
          <w:ilvl w:val="0"/>
          <w:numId w:val="1002"/>
        </w:numPr>
        <w:pStyle w:val="Compact"/>
      </w:pPr>
      <w:r>
        <w:rPr>
          <w:bCs/>
          <w:b/>
        </w:rPr>
        <w:t xml:space="preserve">Digital Transformation:</w:t>
      </w:r>
    </w:p>
    <w:p>
      <w:pPr>
        <w:numPr>
          <w:ilvl w:val="0"/>
          <w:numId w:val="1002"/>
        </w:numPr>
        <w:pStyle w:val="Compact"/>
      </w:pPr>
      <w:r>
        <w:rPr>
          <w:bCs/>
          <w:b/>
        </w:rPr>
        <w:t xml:space="preserve">Sector-Specialized Teams:</w:t>
      </w:r>
      <w:r>
        <w:t xml:space="preserve">Ley de Software), which exempts certain services from VAT and reduces Income Tax rates.</w:t>
      </w:r>
    </w:p>
    <w:p>
      <w:pPr>
        <w:numPr>
          <w:ilvl w:val="0"/>
          <w:numId w:val="1002"/>
        </w:numPr>
        <w:pStyle w:val="Compact"/>
      </w:pPr>
      <w:r>
        <w:rPr>
          <w:bCs/>
          <w:b/>
        </w:rPr>
        <w:t xml:space="preserve">Educational Outreach:</w:t>
      </w:r>
      <w:r>
        <w:t xml:space="preserve">Accountant as a strategic advisor rather than just a service provider.</w:t>
      </w:r>
    </w:p>
    <w:bookmarkEnd w:id="26"/>
    <w:bookmarkStart w:id="27" w:name="impact-and-results"/>
    <w:p>
      <w:pPr>
        <w:pStyle w:val="Heading2"/>
      </w:pPr>
      <w:r>
        <w:t xml:space="preserve">5. Impact and Results</w:t>
      </w:r>
    </w:p>
    <w:p>
      <w:pPr>
        <w:pStyle w:val="FirstParagraph"/>
      </w:pPr>
      <w:r>
        <w:t xml:space="preserve">The implementation of these strategies has yielded measurable results. Over the past two years, client retention increased by 15%, largely due to improved communication during periods of economic uncertainty. Furthermore, the specialized focus on tech-sector incentives helped several startup clients reduce their effective tax burden by approximately 20% through proper utilization of local and national exemptions.</w:t>
      </w:r>
    </w:p>
    <w:p>
      <w:pPr>
        <w:pStyle w:val="BodyText"/>
      </w:pPr>
      <w:r>
        <w:t xml:space="preserve">Additionally, the firm successfully navigated a recent audit by AFIP for two major agricultural clients. By maintaining rigorous documentation and clear separation between provincial and national taxable events, they avoided significant fines. This success highlighted the importance of localized expertise for an</w:t>
      </w:r>
      <w:r>
        <w:t xml:space="preserve"> </w:t>
      </w:r>
      <w:r>
        <w:rPr>
          <w:bCs/>
          <w:b/>
        </w:rPr>
        <w:t xml:space="preserve">Accountant</w:t>
      </w:r>
      <w:r>
        <w:t xml:space="preserve"> operating in Argentina Córdoba.</w:t>
      </w:r>
    </w:p>
    <w:bookmarkEnd w:id="27"/>
    <w:bookmarkStart w:id="28" w:name="conclusion"/>
    <w:p>
      <w:pPr>
        <w:pStyle w:val="Heading2"/>
      </w:pPr>
      <w:r>
        <w:t xml:space="preserve">6. Conclusion</w:t>
      </w:r>
    </w:p>
    <w:p>
      <w:pPr>
        <w:pStyle w:val="FirstParagraph"/>
      </w:pPr>
      <w:r>
        <w:t xml:space="preserve">The case of Córdoba Finanza &amp; Asociados illustrates that being a successful</w:t>
      </w:r>
      <w:r>
        <w:t xml:space="preserve"> </w:t>
      </w:r>
      <w:r>
        <w:rPr>
          <w:bCs/>
          <w:b/>
        </w:rPr>
        <w:t xml:space="preserve">Accountant</w:t>
      </w:r>
      <w:r>
        <w:t xml:space="preserve"> in Argentina Córdoba requires more than technical proficiency in accounting standards. It demands adaptability, deep local knowledge, and the ability to interpret complex legal frameworks amidst economic turbulence.</w:t>
      </w:r>
    </w:p>
    <w:p>
      <w:pPr>
        <w:pStyle w:val="BodyText"/>
      </w:pPr>
      <w:r>
        <w:t xml:space="preserve">The unique characteristics of Córdoba—its mix of traditional industry and modern technology, combined with its provincial autonomy—create a distinct professional environment. Professionals who can bridge the gap between national regulations and local realities provide immense value to businesses. As Argentina continues to navigate its economic challenges, the role of the</w:t>
      </w:r>
      <w:r>
        <w:t xml:space="preserve"> </w:t>
      </w:r>
      <w:r>
        <w:rPr>
          <w:bCs/>
          <w:b/>
        </w:rPr>
        <w:t xml:space="preserve">Accountant</w:t>
      </w:r>
      <w:r>
        <w:t xml:space="preserve"> will remain pivotal in ensuring compliance, optimizing resources, and providing stability in an unpredictable market.</w:t>
      </w:r>
    </w:p>
    <w:p>
      <w:pPr>
        <w:pStyle w:val="BodyText"/>
      </w:pPr>
      <w:r>
        <w:t xml:space="preserve">Ultimately, for any financial professional operating within this region, success is defined by the ability to translate chaos into clarity for their clients.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Financial Landscape for an Accountant in Argentina Córdoba</dc:title>
  <dc:creator/>
  <dc:language>en</dc:language>
  <cp:keywords/>
  <dcterms:created xsi:type="dcterms:W3CDTF">2026-07-29T10:29:11Z</dcterms:created>
  <dcterms:modified xsi:type="dcterms:W3CDTF">2026-07-29T10:29:11Z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