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w:t>
      </w:r>
      <w:r>
        <w:t xml:space="preserve"> </w:t>
      </w:r>
      <w:r>
        <w:t xml:space="preserve">Melbourne</w:t>
      </w:r>
      <w:r>
        <w:t xml:space="preserve"> </w:t>
      </w:r>
      <w:r>
        <w:t xml:space="preserve">SME</w:t>
      </w:r>
    </w:p>
    <w:bookmarkStart w:id="31" w:name="X2539482ce3cf787eca59a72557de906b7d9d1f7"/>
    <w:p>
      <w:pPr>
        <w:pStyle w:val="Heading1"/>
      </w:pPr>
      <w:r>
        <w:t xml:space="preserve">Case Study: Navigating Financial Complexity for a Growing Enterprise in Australia Melbourne</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Comprehensive Accounting Solutions for the Australian Market</w:t>
      </w:r>
      <w:r>
        <w:br/>
      </w:r>
      <w:r>
        <w:rPr>
          <w:bCs/>
          <w:b/>
        </w:rPr>
        <w:t xml:space="preserve">Jurisdiction:</w:t>
      </w:r>
      <w:r>
        <w:t xml:space="preserve"> </w:t>
      </w:r>
      <w:r>
        <w:t xml:space="preserve">Australia Melbourne</w:t>
      </w:r>
    </w:p>
    <w:p>
      <w:pPr>
        <w:pStyle w:val="BodyText"/>
      </w:pPr>
      <w:r>
        <w:t xml:space="preserve">In the dynamic economic landscape of modern business, financial clarity is not merely a regulatory requirement but a strategic advantage. This case study explores the transformation of "TechFlow Solutions," a mid-sized software development firm based in Australia Melbourne. The company faced significant challenges regarding tax compliance, cash flow management, and strategic planning within the specific regulatory framework of Australian law. By engaging with specialized local expertise, TechFlow Solutions was able to transition from reactive bookkeeping to proactive financial strategy, resulting in substantial growth and compliance assurance.</w:t>
      </w:r>
    </w:p>
    <w:bookmarkStart w:id="20" w:name="company-background"/>
    <w:p>
      <w:pPr>
        <w:pStyle w:val="Heading2"/>
      </w:pPr>
      <w:r>
        <w:t xml:space="preserve">Company Background</w:t>
      </w:r>
    </w:p>
    <w:p>
      <w:pPr>
        <w:pStyle w:val="FirstParagraph"/>
      </w:pPr>
      <w:r>
        <w:t xml:space="preserve">TechFlow Solutions was established in 2018 as a boutique software consultancy. By 2021, the company had expanded its workforce from five to thirty employees and secured major contracts with government entities in Victoria. Despite this rapid growth, the financial infrastructure of the company remained rudimentary. The founder, a talented engineer but inexperienced businessman, managed finances using disjointed spreadsheets and an outdated software system that did not integrate with modern banking standards.</w:t>
      </w:r>
    </w:p>
    <w:p>
      <w:pPr>
        <w:pStyle w:val="BodyText"/>
      </w:pPr>
      <w:r>
        <w:t xml:space="preserve">The business operated primarily out of the Melbourne CBD and surrounding suburbs. While revenue was strong on paper, profit margins were shrinking due to inefficiencies in billing cycles and unexpected tax liabilities. The company recognized the urgent need for a professional accountant who understood the unique nuances of doing business in Australia Melbourne, particularly regarding state-based payroll taxes and federal taxation laws.</w:t>
      </w:r>
    </w:p>
    <w:bookmarkEnd w:id="20"/>
    <w:bookmarkStart w:id="21" w:name="the-challenge"/>
    <w:p>
      <w:pPr>
        <w:pStyle w:val="Heading2"/>
      </w:pPr>
      <w:r>
        <w:t xml:space="preserve">The Challenge</w:t>
      </w:r>
    </w:p>
    <w:p>
      <w:pPr>
        <w:pStyle w:val="FirstParagraph"/>
      </w:pPr>
      <w:r>
        <w:t xml:space="preserve">TechFlow Solutions faced three critical challenges that threatened its sustainability:</w:t>
      </w:r>
    </w:p>
    <w:p>
      <w:pPr>
        <w:numPr>
          <w:ilvl w:val="0"/>
          <w:numId w:val="1001"/>
        </w:numPr>
        <w:pStyle w:val="Compact"/>
      </w:pPr>
      <w:r>
        <w:rPr>
          <w:bCs/>
          <w:b/>
        </w:rPr>
        <w:t xml:space="preserve">R&amp;D Tax Incentive Complexity:</w:t>
      </w:r>
      <w:r>
        <w:t xml:space="preserve"> </w:t>
      </w:r>
      <w:r>
        <w:t xml:space="preserve">As a tech company, TechFlow was eligible for the Australian Government’s R&amp;D Tax Incentive. However, they were unaware of the specific documentation required to claim these credits effectively, leaving significant funds on the table.</w:t>
      </w:r>
    </w:p>
    <w:p>
      <w:pPr>
        <w:numPr>
          <w:ilvl w:val="0"/>
          <w:numId w:val="1001"/>
        </w:numPr>
        <w:pStyle w:val="Compact"/>
      </w:pPr>
      <w:r>
        <w:rPr>
          <w:bCs/>
          <w:b/>
        </w:rPr>
        <w:t xml:space="preserve">Fringe Benefits Tax (FBT) and Payroll:</w:t>
      </w:r>
      <w:r>
        <w:t xml:space="preserve"> </w:t>
      </w:r>
      <w:r>
        <w:t xml:space="preserve">With a growing team in Victoria, the company struggled with complex payroll structures, including bonuses and car benefits. The risk of non-compliance with the Australian Taxation Office (ATO) was high, potentially leading to severe penalties.</w:t>
      </w:r>
    </w:p>
    <w:p>
      <w:pPr>
        <w:numPr>
          <w:ilvl w:val="0"/>
          <w:numId w:val="1001"/>
        </w:numPr>
        <w:pStyle w:val="Compact"/>
      </w:pPr>
      <w:r>
        <w:rPr>
          <w:bCs/>
          <w:b/>
        </w:rPr>
        <w:t xml:space="preserve">Cash Flow Volatility:</w:t>
      </w:r>
      <w:r>
        <w:t xml:space="preserve"> </w:t>
      </w:r>
      <w:r>
        <w:t xml:space="preserve">Government contracts often involve lengthy payment terms. TechFlow suffered from cash flow crunches that made it difficult to pay staff on time and invest in new equipment, jeopardizing their operational stability.</w:t>
      </w:r>
    </w:p>
    <w:p>
      <w:pPr>
        <w:pStyle w:val="FirstParagraph"/>
      </w:pPr>
      <w:r>
        <w:t xml:space="preserve">The lack of localized insight was the root cause. Generalist accounting firms often failed to grasp the specific economic conditions affecting businesses in Australia Melbourne, such as local property tax implications (Land Tax) and Victoria-specific superannuation compliance nuances.</w:t>
      </w:r>
    </w:p>
    <w:bookmarkEnd w:id="21"/>
    <w:bookmarkStart w:id="26" w:name="the-solution"/>
    <w:p>
      <w:pPr>
        <w:pStyle w:val="Heading2"/>
      </w:pPr>
      <w:r>
        <w:t xml:space="preserve">The Solution</w:t>
      </w:r>
    </w:p>
    <w:p>
      <w:pPr>
        <w:pStyle w:val="FirstParagraph"/>
      </w:pPr>
      <w:r>
        <w:t xml:space="preserve">TechFlow Solutions engaged a specialized firm of Accountant professionals based in Australia Melbourne. The engagement was structured to address immediate compliance needs while building a framework for long-term strategic growth.</w:t>
      </w:r>
    </w:p>
    <w:bookmarkStart w:id="22" w:name="comprehensive-audit-and-cleanup"/>
    <w:p>
      <w:pPr>
        <w:pStyle w:val="Heading3"/>
      </w:pPr>
      <w:r>
        <w:t xml:space="preserve">1. Comprehensive Audit and Cleanup</w:t>
      </w:r>
    </w:p>
    <w:p>
      <w:pPr>
        <w:pStyle w:val="FirstParagraph"/>
      </w:pPr>
      <w:r>
        <w:t xml:space="preserve">The initial phase involved a forensic audit of the previous two years’ financial records. The Accountant team reconciled bank accounts, identified missing invoices, and corrected misclassified expenses. This cleanup was crucial for ensuring accurate reporting to the ATO.</w:t>
      </w:r>
    </w:p>
    <w:bookmarkEnd w:id="22"/>
    <w:bookmarkStart w:id="23" w:name="implementation-of-cloud-accounting"/>
    <w:p>
      <w:pPr>
        <w:pStyle w:val="Heading3"/>
      </w:pPr>
      <w:r>
        <w:t xml:space="preserve">2. Implementation of Cloud Accounting</w:t>
      </w:r>
    </w:p>
    <w:p>
      <w:pPr>
        <w:pStyle w:val="FirstParagraph"/>
      </w:pPr>
      <w:r>
        <w:t xml:space="preserve">The firm implemented modern cloud-based accounting software (such as Xero or MYOB), which is widely adopted in Australia Melbourne for its real-time capabilities. This integration allowed for seamless bank feeds, automated invoicing, and real-time visibility into financial health.</w:t>
      </w:r>
    </w:p>
    <w:bookmarkEnd w:id="23"/>
    <w:bookmarkStart w:id="24" w:name="strategic-tax-planning"/>
    <w:p>
      <w:pPr>
        <w:pStyle w:val="Heading3"/>
      </w:pPr>
      <w:r>
        <w:t xml:space="preserve">3. Strategic Tax Planning</w:t>
      </w:r>
    </w:p>
    <w:p>
      <w:pPr>
        <w:pStyle w:val="FirstParagraph"/>
      </w:pPr>
      <w:r>
        <w:t xml:space="preserve">A major focus was placed on the R&amp;D Tax Incentive. The Accountant team worked closely with TechFlow’s technical leads to document innovation activities accurately. This resulted in a successful claim that returned over $150,000 in cash flow back to the business.</w:t>
      </w:r>
    </w:p>
    <w:bookmarkEnd w:id="24"/>
    <w:bookmarkStart w:id="25" w:name="payroll-and-compliance-optimization"/>
    <w:p>
      <w:pPr>
        <w:pStyle w:val="Heading3"/>
      </w:pPr>
      <w:r>
        <w:t xml:space="preserve">4. Payroll and Compliance Optimization</w:t>
      </w:r>
    </w:p>
    <w:p>
      <w:pPr>
        <w:pStyle w:val="FirstParagraph"/>
      </w:pPr>
      <w:r>
        <w:t xml:space="preserve">The firm streamlined payroll processes using integrated software compliant with Fair Work Ombudsman standards. They also provided training for management on FBT obligations, ensuring that employee benefits were structured tax-efficiently.</w:t>
      </w:r>
    </w:p>
    <w:bookmarkEnd w:id="25"/>
    <w:bookmarkEnd w:id="26"/>
    <w:bookmarkStart w:id="27" w:name="implementation-process"/>
    <w:p>
      <w:pPr>
        <w:pStyle w:val="Heading2"/>
      </w:pPr>
      <w:r>
        <w:t xml:space="preserve">Implementation Process</w:t>
      </w:r>
    </w:p>
    <w:p>
      <w:pPr>
        <w:pStyle w:val="FirstParagraph"/>
      </w:pPr>
      <w:r>
        <w:t xml:space="preserve">The transition was managed over a four-month period. The first month focused on data migration and system setup. During this time, the Accountant team held weekly workshops with TechFlow’s leadership to explain Australian tax laws in accessible terms, demystifying concepts like GST registration thresholds and PAYG withholding.</w:t>
      </w:r>
    </w:p>
    <w:p>
      <w:pPr>
        <w:pStyle w:val="BodyText"/>
      </w:pPr>
      <w:r>
        <w:t xml:space="preserve">The second month involved the reconciliation of historical data. The third month focused on implementing new processes for monthly financial reporting. Finally, the fourth month was dedicated to training staff and handing over control, ensuring that TechFlow’s internal team felt confident in using the new systems.</w:t>
      </w:r>
    </w:p>
    <w:bookmarkEnd w:id="27"/>
    <w:bookmarkStart w:id="28" w:name="results-and-impact"/>
    <w:p>
      <w:pPr>
        <w:pStyle w:val="Heading2"/>
      </w:pPr>
      <w:r>
        <w:t xml:space="preserve">Results and Impact</w:t>
      </w:r>
    </w:p>
    <w:p>
      <w:pPr>
        <w:pStyle w:val="FirstParagraph"/>
      </w:pPr>
      <w:r>
        <w:t xml:space="preserve">The results of this partnership were transformative for TechFlow Solutions. The shift from a generalist approach to specialized Accountant support tailored for the Australia Melbourne market yielded tangible benefits:</w:t>
      </w:r>
    </w:p>
    <w:p>
      <w:pPr>
        <w:pStyle w:val="BodyText"/>
      </w:pPr>
      <w:r>
        <w:t xml:space="preserve">Metric</w:t>
      </w:r>
    </w:p>
    <w:p>
      <w:pPr>
        <w:pStyle w:val="BodyText"/>
      </w:pPr>
      <w:r>
        <w:t xml:space="preserve">Pre-Engagement</w:t>
      </w:r>
    </w:p>
    <w:p>
      <w:pPr>
        <w:pStyle w:val="BodyText"/>
      </w:pPr>
      <w:r>
        <w:t xml:space="preserve">Post-Engagement (Year 1)</w:t>
      </w:r>
    </w:p>
    <w:p>
      <w:pPr>
        <w:pStyle w:val="BodyText"/>
      </w:pPr>
      <w:r>
        <w:t xml:space="preserve">Cash Flow Stability</w:t>
      </w:r>
    </w:p>
    <w:p>
      <w:pPr>
        <w:pStyle w:val="BodyText"/>
      </w:pPr>
      <w:r>
        <w:t xml:space="preserve">Poor - Frequent overdrafts</w:t>
      </w:r>
    </w:p>
    <w:p>
      <w:pPr>
        <w:pStyle w:val="BodyText"/>
      </w:pPr>
      <w:r>
        <w:t xml:space="preserve">Glass - Consistent positive balance</w:t>
      </w:r>
    </w:p>
    <w:p>
      <w:pPr>
        <w:pStyle w:val="BodyText"/>
      </w:pPr>
      <w:r>
        <w:t xml:space="preserve">R&amp;D Tax Claims Claimed Amount$0.00&gt;$15,2,35,35,2</w:t>
      </w:r>
    </w:p>
    <w:p>
      <w:pPr>
        <w:pStyle w:val="BodyText"/>
      </w:pPr>
      <w:r>
        <w:t xml:space="preserve">Compliance Risk</w:t>
      </w:r>
    </w:p>
    <w:p>
      <w:pPr>
        <w:pStyle w:val="BodyText"/>
      </w:pPr>
      <w:r>
        <w:t xml:space="preserve">High - Multiple warnings from ATO</w:t>
      </w:r>
    </w:p>
    <w:p>
      <w:pPr>
        <w:pStyle w:val="BodyText"/>
      </w:pPr>
      <w:r>
        <w:t xml:space="preserve">Negligible - Clean audit history</w:t>
      </w:r>
    </w:p>
    <w:p>
      <w:pPr>
        <w:pStyle w:val="BodyText"/>
      </w:pPr>
      <w:r>
        <w:t xml:space="preserve">Management Time Spent on Finance (Hours/Month)</w:t>
      </w:r>
    </w:p>
    <w:p>
      <w:pPr>
        <w:pStyle w:val="BodyText"/>
      </w:pPr>
      <w:r>
        <w:t xml:space="preserve">40+ hours</w:t>
      </w:r>
    </w:p>
    <w:p>
      <w:pPr>
        <w:pStyle w:val="BodyText"/>
      </w:pPr>
      <w:r>
        <w:t xml:space="preserve">&lt;20% reduction in administrative time, allowing the founder to focus on business development.</w:t>
      </w:r>
    </w:p>
    <w:bookmarkEnd w:id="28"/>
    <w:bookmarkStart w:id="29" w:name="key-lessons-learned"/>
    <w:p>
      <w:pPr>
        <w:pStyle w:val="Heading2"/>
      </w:pPr>
      <w:r>
        <w:t xml:space="preserve">Key Lessons Learned</w:t>
      </w:r>
    </w:p>
    <w:p>
      <w:pPr>
        <w:pStyle w:val="FirstParagraph"/>
      </w:pPr>
      <w:r>
        <w:t xml:space="preserve">This case study highlights several critical takeaways for businesses operating in Australia Melbourne:</w:t>
      </w:r>
    </w:p>
    <w:p>
      <w:pPr>
        <w:numPr>
          <w:ilvl w:val="0"/>
          <w:numId w:val="1002"/>
        </w:numPr>
        <w:pStyle w:val="Compact"/>
      </w:pPr>
      <w:r>
        <w:rPr>
          <w:bCs/>
          <w:b/>
        </w:rPr>
        <w:t xml:space="preserve">Llocalization is Key:</w:t>
      </w:r>
      <w:r>
        <w:t xml:space="preserve">An Accountant familiar with the local economic landscape of Australia Melbourne can identify opportunities and risks that national or international firms might miss. Understanding state-specific regulations, such as payroll tax thresholds in Victoria, is essential.</w:t>
      </w:r>
    </w:p>
    <w:p>
      <w:pPr>
        <w:numPr>
          <w:ilvl w:val="0"/>
          <w:numId w:val="1002"/>
        </w:numPr>
        <w:pStyle w:val="Compact"/>
      </w:pPr>
      <w:r>
        <w:rPr>
          <w:bCs/>
          <w:b/>
        </w:rPr>
        <w:t xml:space="preserve">Proactive vs. Reactive:</w:t>
      </w:r>
      <w:r>
        <w:t xml:space="preserve">Moving from reactive bookkeeping to proactive strategic planning allows businesses to leverage government incentives like the R&amp;D Tax Incentive effectively.</w:t>
      </w:r>
    </w:p>
    <w:p>
      <w:pPr>
        <w:pStyle w:val="FirstParagraph"/>
      </w:pPr>
      <w:r>
        <w:rPr>
          <w:bCs/>
          <w:b/>
        </w:rPr>
        <w:t xml:space="preserve">Tech Integration:</w:t>
      </w:r>
      <w:r>
        <w:t xml:space="preserve">In the modern Australian business environment, integrating accounting software with banking and CRM systems is not optional. It provides the real-time data necessary for agile decision-making.</w:t>
      </w:r>
    </w:p>
    <w:bookmarkEnd w:id="29"/>
    <w:bookmarkStart w:id="30" w:name="conclusion"/>
    <w:p>
      <w:pPr>
        <w:pStyle w:val="Heading2"/>
      </w:pPr>
      <w:r>
        <w:t xml:space="preserve">Conclusion</w:t>
      </w:r>
    </w:p>
    <w:p>
      <w:pPr>
        <w:pStyle w:val="FirstParagraph"/>
      </w:pPr>
      <w:r>
        <w:t xml:space="preserve">The journey of TechFlow Solutions demonstrates that financial success in Australia Melbourne requires more than just number-crunching; it demands strategic partnership. By engaging a dedicated Accountant who understands the local regulatory environment, businesses can turn compliance into competitive advantage. For any enterprise in Australia Melbourne, investing in professional accounting services is not an expense but a vital investment in stability and growth.</w:t>
      </w:r>
    </w:p>
    <w:p>
      <w:pPr>
        <w:pStyle w:val="BodyText"/>
      </w:pPr>
      <w:r>
        <w:t xml:space="preserve">This case study serves as a testament to the importance of specialized financial guidance. As the economic landscape continues to evolve, businesses must adapt by leveraging expert insights from Accountant professionals who are deeply rooted in the Australian Melbourne market. Whether navigating complex tax laws or optimizing cash flow, professional support remains indispensable for sustainable success.</w:t>
      </w:r>
    </w:p>
    <w:p>
      <w:pPr>
        <w:pStyle w:val="BodyText"/>
      </w:pPr>
      <w:r>
        <w:rPr>
          <w:bCs/>
          <w:b/>
        </w:rPr>
        <w:t xml:space="preserve">Note:</w:t>
      </w:r>
      <w:r>
        <w:t xml:space="preserve"> </w:t>
      </w:r>
      <w:r>
        <w:t xml:space="preserve">All figures and company names in this document have been anonymized to protect client confidentiality, but the scenarios reflect common realities for SMEs in Australia Melbourne. Legal and financial advice should always be sought from qualified professionals before making business decisions.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a Melbourne SME</dc:title>
  <dc:creator/>
  <dc:language>en</dc:language>
  <cp:keywords/>
  <dcterms:created xsi:type="dcterms:W3CDTF">2026-07-29T03:24:36Z</dcterms:created>
  <dcterms:modified xsi:type="dcterms:W3CDTF">2026-07-29T03:24:36Z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