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Partnership</w:t>
      </w:r>
      <w:r>
        <w:t xml:space="preserve"> </w:t>
      </w:r>
      <w:r>
        <w:t xml:space="preserve">for</w:t>
      </w:r>
      <w:r>
        <w:t xml:space="preserve"> </w:t>
      </w:r>
      <w:r>
        <w:t xml:space="preserve">a</w:t>
      </w:r>
      <w:r>
        <w:t xml:space="preserve"> </w:t>
      </w:r>
      <w:r>
        <w:t xml:space="preserve">Tech</w:t>
      </w:r>
      <w:r>
        <w:t xml:space="preserve"> </w:t>
      </w:r>
      <w:r>
        <w:t xml:space="preserve">Startup</w:t>
      </w:r>
      <w:r>
        <w:t xml:space="preserve"> </w:t>
      </w:r>
      <w:r>
        <w:t xml:space="preserve">in</w:t>
      </w:r>
      <w:r>
        <w:t xml:space="preserve"> </w:t>
      </w:r>
      <w:r>
        <w:t xml:space="preserve">Canada</w:t>
      </w:r>
      <w:r>
        <w:t xml:space="preserve"> </w:t>
      </w:r>
      <w:r>
        <w:t xml:space="preserve">Toronto</w:t>
      </w:r>
    </w:p>
    <w:bookmarkStart w:id="30" w:name="X8018641e20d0201624585e86f6b9a1182a5756d"/>
    <w:p>
      <w:pPr>
        <w:pStyle w:val="Heading1"/>
      </w:pPr>
      <w:r>
        <w:t xml:space="preserve">Navigating Complexity: A Case Study on Professional Accounting Services in Canada Toronto</w:t>
      </w:r>
    </w:p>
    <w:p>
      <w:pPr>
        <w:pStyle w:val="FirstParagraph"/>
      </w:pPr>
      <w:r>
        <w:rPr>
          <w:iCs/>
          <w:i/>
          <w:bCs/>
          <w:b/>
        </w:rPr>
        <w:t xml:space="preserve">Date:</w:t>
      </w:r>
      <w:r>
        <w:t xml:space="preserve"> </w:t>
      </w:r>
      <w:r>
        <w:t xml:space="preserve">October 2023</w:t>
      </w:r>
      <w:r>
        <w:br/>
      </w:r>
      <w:r>
        <w:rPr>
          <w:iCs/>
          <w:i/>
          <w:bCs/>
          <w:b/>
        </w:rPr>
        <w:t xml:space="preserve">Jurisdiction:</w:t>
      </w:r>
      <w:r>
        <w:t xml:space="preserve"> </w:t>
      </w:r>
      <w:r>
        <w:t xml:space="preserve">Canada, specifically the Greater Toronto Area (GTA)</w:t>
      </w:r>
      <w:r>
        <w:br/>
      </w:r>
      <w:r>
        <w:rPr>
          <w:iCs/>
          <w:i/>
          <w:bCs/>
          <w:b/>
        </w:rPr>
        <w:t xml:space="preserve">Subject:</w:t>
      </w:r>
      <w:r>
        <w:t xml:space="preserve"> </w:t>
      </w:r>
      <w:r>
        <w:t xml:space="preserve">Comprehensive Financial Strategy and Compliance for Emerging Technology Enterprise</w:t>
      </w:r>
    </w:p>
    <w:bookmarkStart w:id="20" w:name="executive-summary"/>
    <w:p>
      <w:pPr>
        <w:pStyle w:val="Heading2"/>
      </w:pPr>
      <w:r>
        <w:t xml:space="preserve">1. Executive Summary</w:t>
      </w:r>
    </w:p>
    <w:p>
      <w:pPr>
        <w:pStyle w:val="FirstParagraph"/>
      </w:pPr>
      <w:r>
        <w:t xml:space="preserve">In the vibrant and highly competitive economic landscape of</w:t>
      </w:r>
      <w:r>
        <w:t xml:space="preserve"> </w:t>
      </w:r>
      <w:r>
        <w:rPr>
          <w:bCs/>
          <w:b/>
        </w:rPr>
        <w:t xml:space="preserve">Canada Toronto</w:t>
      </w:r>
      <w:r>
        <w:t xml:space="preserve">, small to medium-sized enterprises (SMEs) face unique fiscal challenges. This</w:t>
      </w:r>
      <w:r>
        <w:t xml:space="preserve"> </w:t>
      </w:r>
      <w:r>
        <w:rPr>
          <w:iCs/>
          <w:i/>
          <w:bCs/>
          <w:b/>
        </w:rPr>
        <w:t xml:space="preserve">CASE STUDY</w:t>
      </w:r>
      <w:r>
        <w:t xml:space="preserve"> </w:t>
      </w:r>
      <w:r>
        <w:t xml:space="preserve">examines the engagement between "Apex Innovations," a Series A-funded technology startup, and their retained</w:t>
      </w:r>
      <w:r>
        <w:t xml:space="preserve"> </w:t>
      </w:r>
      <w:r>
        <w:rPr>
          <w:iCs/>
          <w:i/>
        </w:rPr>
        <w:t xml:space="preserve">Accountant</w:t>
      </w:r>
      <w:r>
        <w:t xml:space="preserve">. The primary objective was to transition from informal bookkeeping to a robust, compliance-driven financial structure that supports international expansion while navigating the specific tax regulations of Ontario. This document highlights how specialized local expertise in</w:t>
      </w:r>
      <w:r>
        <w:t xml:space="preserve"> </w:t>
      </w:r>
      <w:r>
        <w:rPr>
          <w:bCs/>
          <w:b/>
        </w:rPr>
        <w:t xml:space="preserve">Canada Toronto</w:t>
      </w:r>
      <w:r>
        <w:t xml:space="preserve"> </w:t>
      </w:r>
      <w:r>
        <w:t xml:space="preserve">contributed to a 25% reduction in effective tax liability and streamlined operational efficiency.</w:t>
      </w:r>
    </w:p>
    <w:bookmarkEnd w:id="20"/>
    <w:bookmarkStart w:id="21" w:name="client-profile-and-challenge"/>
    <w:p>
      <w:pPr>
        <w:pStyle w:val="Heading2"/>
      </w:pPr>
      <w:r>
        <w:t xml:space="preserve">2. Client Profile and Challenge</w:t>
      </w:r>
    </w:p>
    <w:p>
      <w:pPr>
        <w:pStyle w:val="FirstParagraph"/>
      </w:pPr>
      <w:r>
        <w:t xml:space="preserve">Apex Innovations, headquartered in the core district of</w:t>
      </w:r>
      <w:r>
        <w:t xml:space="preserve"> </w:t>
      </w:r>
      <w:r>
        <w:rPr>
          <w:iCs/>
          <w:i/>
          <w:bCs/>
          <w:b/>
        </w:rPr>
        <w:t xml:space="preserve">CANADA TORONTO</w:t>
      </w:r>
      <w:r>
        <w:t xml:space="preserve">, specializes in AI-driven logistics software. By mid-2023, the company had grown rapidly, hiring over 40 employees and securing funding from international venture capital firms. However, their internal financial management was fragmented. The previous setup relied on generic software without local regulatory oversight.</w:t>
      </w:r>
      <w:r>
        <w:t xml:space="preserve"> </w:t>
      </w:r>
      <w:r>
        <w:t xml:space="preserve">The critical issues identified were:</w:t>
      </w:r>
      <w:r>
        <w:t xml:space="preserve"> </w:t>
      </w:r>
      <w:r>
        <w:t xml:space="preserve">1. **Non-Compliance Risk:** Failure to correctly manage Harmonized Sales Tax (HST) remittances in Ontario, which is distinct from other Canadian provinces.</w:t>
      </w:r>
      <w:r>
        <w:t xml:space="preserve"> </w:t>
      </w:r>
      <w:r>
        <w:t xml:space="preserve">2. **R&amp;D Incentive Mismanagement:** The company was unaware of the Scientific Research and Experimental Development (SR&amp;ED) tax credit program, leaving significant government rebates on the table.</w:t>
      </w:r>
      <w:r>
        <w:t xml:space="preserve"> </w:t>
      </w:r>
      <w:r>
        <w:t xml:space="preserve">3. **Payroll Complexity:** Difficulty in managing cross-border contractors while adhering to strict Canadian labor standards in</w:t>
      </w:r>
      <w:r>
        <w:t xml:space="preserve"> </w:t>
      </w:r>
      <w:r>
        <w:rPr>
          <w:bCs/>
          <w:b/>
        </w:rPr>
        <w:t xml:space="preserve">Canada Toronto</w:t>
      </w:r>
      <w:r>
        <w:t xml:space="preserve">.</w:t>
      </w:r>
    </w:p>
    <w:bookmarkEnd w:id="21"/>
    <w:bookmarkStart w:id="25" w:name="the-role-of-the-specialist-accountant"/>
    <w:p>
      <w:pPr>
        <w:pStyle w:val="Heading2"/>
      </w:pPr>
      <w:r>
        <w:t xml:space="preserve">3. The Role of the Specialist Accountant</w:t>
      </w:r>
    </w:p>
    <w:p>
      <w:pPr>
        <w:pStyle w:val="FirstParagraph"/>
      </w:pPr>
      <w:r>
        <w:t xml:space="preserve">To address these challenges, Apex engaged a boutique firm specializing in technology sector accounting within</w:t>
      </w:r>
      <w:r>
        <w:t xml:space="preserve"> </w:t>
      </w:r>
      <w:r>
        <w:rPr>
          <w:iCs/>
          <w:i/>
          <w:bCs/>
          <w:b/>
        </w:rPr>
        <w:t xml:space="preserve">CANADA TORONTO</w:t>
      </w:r>
      <w:r>
        <w:t xml:space="preserve">. Unlike generalist firms, this specific</w:t>
      </w:r>
      <w:r>
        <w:t xml:space="preserve"> </w:t>
      </w:r>
      <w:r>
        <w:rPr>
          <w:bCs/>
          <w:b/>
          <w:iCs/>
          <w:i/>
        </w:rPr>
        <w:t xml:space="preserve">ACCOUNTANT</w:t>
      </w:r>
      <w:r>
        <w:t xml:space="preserve"> </w:t>
      </w:r>
      <w:r>
        <w:t xml:space="preserve">team possessed deep knowledge of the local economic ecosystem. The engagement was structured around three pillars: Compliance, Optimization, and Strategic Advisory.</w:t>
      </w:r>
    </w:p>
    <w:bookmarkStart w:id="22" w:name="regulatory-compliance-in-ontario"/>
    <w:p>
      <w:pPr>
        <w:pStyle w:val="Heading3"/>
      </w:pPr>
      <w:r>
        <w:t xml:space="preserve">3.1 Regulatory Compliance in Ontario</w:t>
      </w:r>
    </w:p>
    <w:p>
      <w:pPr>
        <w:pStyle w:val="FirstParagraph"/>
      </w:pPr>
      <w:r>
        <w:t xml:space="preserve">The first priority was establishing a compliant fiscal framework for operations in</w:t>
      </w:r>
      <w:r>
        <w:t xml:space="preserve"> </w:t>
      </w:r>
      <w:r>
        <w:rPr>
          <w:iCs/>
          <w:i/>
          <w:bCs/>
          <w:b/>
        </w:rPr>
        <w:t xml:space="preserve">CANADA TORONTO</w:t>
      </w:r>
      <w:r>
        <w:t xml:space="preserve">. The</w:t>
      </w:r>
      <w:r>
        <w:t xml:space="preserve"> </w:t>
      </w:r>
      <w:r>
        <w:rPr>
          <w:iCs/>
          <w:i/>
        </w:rPr>
        <w:t xml:space="preserve">Accountant</w:t>
      </w:r>
      <w:r>
        <w:t xml:space="preserve"> </w:t>
      </w:r>
      <w:r>
        <w:t xml:space="preserve">conducted a forensic audit of the previous two years of financial data. They identified errors in HST filing. In Ontario, businesses must charge 13% HST on taxable supplies. The prior setup had under-reported these figures, creating a liability risk with the Canada Revenue Agency (CRA).</w:t>
      </w:r>
      <w:r>
        <w:t xml:space="preserve"> </w:t>
      </w:r>
      <w:r>
        <w:t xml:space="preserve">The</w:t>
      </w:r>
      <w:r>
        <w:t xml:space="preserve"> </w:t>
      </w:r>
      <w:r>
        <w:rPr>
          <w:bCs/>
          <w:b/>
          <w:iCs/>
          <w:i/>
        </w:rPr>
        <w:t xml:space="preserve">ACCOUNTANT</w:t>
      </w:r>
      <w:r>
        <w:t xml:space="preserve"> </w:t>
      </w:r>
      <w:r>
        <w:t xml:space="preserve">implemented a new automated payroll and invoicing system configured specifically for Ontario’s tax rates. They established monthly reconciliation processes to ensure that every dollar of HST collected was accurately tracked and remitted, eliminating the risk of penalties associated with non-compliance in the</w:t>
      </w:r>
      <w:r>
        <w:t xml:space="preserve"> </w:t>
      </w:r>
      <w:r>
        <w:rPr>
          <w:iCs/>
          <w:i/>
          <w:bCs/>
          <w:b/>
        </w:rPr>
        <w:t xml:space="preserve">CANADA TORONTO</w:t>
      </w:r>
      <w:r>
        <w:t xml:space="preserve"> </w:t>
      </w:r>
      <w:r>
        <w:t xml:space="preserve">market.</w:t>
      </w:r>
    </w:p>
    <w:bookmarkEnd w:id="22"/>
    <w:bookmarkStart w:id="23" w:name="leveraging-sred-tax-credits"/>
    <w:p>
      <w:pPr>
        <w:pStyle w:val="Heading3"/>
      </w:pPr>
      <w:r>
        <w:t xml:space="preserve">3.2 Leveraging SR&amp;ED Tax Credits</w:t>
      </w:r>
    </w:p>
    <w:p>
      <w:pPr>
        <w:pStyle w:val="FirstParagraph"/>
      </w:pPr>
      <w:r>
        <w:t xml:space="preserve">One of the most significant value-adds provided by this</w:t>
      </w:r>
      <w:r>
        <w:t xml:space="preserve"> </w:t>
      </w:r>
      <w:r>
        <w:rPr>
          <w:bCs/>
          <w:b/>
          <w:iCs/>
          <w:i/>
        </w:rPr>
        <w:t xml:space="preserve">ACCOUNTANT</w:t>
      </w:r>
      <w:r>
        <w:t xml:space="preserve"> </w:t>
      </w:r>
      <w:r>
        <w:t xml:space="preserve">was the identification and application for SR&amp;ED tax credits. This is a crucial incentive program available across Canada, but it requires meticulous documentation that generalists often overlook.</w:t>
      </w:r>
      <w:r>
        <w:t xml:space="preserve"> </w:t>
      </w:r>
      <w:r>
        <w:t xml:space="preserve">The</w:t>
      </w:r>
      <w:r>
        <w:t xml:space="preserve"> </w:t>
      </w:r>
      <w:r>
        <w:rPr>
          <w:bCs/>
          <w:b/>
          <w:iCs/>
          <w:i/>
        </w:rPr>
        <w:t xml:space="preserve">Accountant</w:t>
      </w:r>
      <w:r>
        <w:t xml:space="preserve"> </w:t>
      </w:r>
      <w:r>
        <w:t xml:space="preserve">worked closely with Apex’s engineering team to identify eligible technological advancements in their software development process. They documented the "technological uncertainty" and "systematic investigation" aspects required by CRA guidelines. This collaboration resulted in a successful claim for approximately $180,000 in refunds and cash rebates, significantly bolstering the company's runway during a period of high interest rates typical in</w:t>
      </w:r>
      <w:r>
        <w:t xml:space="preserve"> </w:t>
      </w:r>
      <w:r>
        <w:rPr>
          <w:iCs/>
          <w:i/>
          <w:bCs/>
          <w:b/>
        </w:rPr>
        <w:t xml:space="preserve">CANADA TORONTO</w:t>
      </w:r>
      <w:r>
        <w:t xml:space="preserve">’s financial sector.</w:t>
      </w:r>
    </w:p>
    <w:bookmarkEnd w:id="23"/>
    <w:bookmarkStart w:id="24" w:name="strategic-financial-advisory"/>
    <w:p>
      <w:pPr>
        <w:pStyle w:val="Heading3"/>
      </w:pPr>
      <w:r>
        <w:t xml:space="preserve">3.3 Strategic Financial Advisory</w:t>
      </w:r>
    </w:p>
    <w:p>
      <w:pPr>
        <w:pStyle w:val="FirstParagraph"/>
      </w:pPr>
      <w:r>
        <w:t xml:space="preserve">Beyond compliance, the</w:t>
      </w:r>
      <w:r>
        <w:t xml:space="preserve"> </w:t>
      </w:r>
      <w:r>
        <w:rPr>
          <w:bCs/>
          <w:b/>
          <w:iCs/>
          <w:i/>
        </w:rPr>
        <w:t xml:space="preserve">ACCOUNTANT</w:t>
      </w:r>
      <w:r>
        <w:t xml:space="preserve"> </w:t>
      </w:r>
      <w:r>
        <w:t xml:space="preserve">served as a strategic partner for growth within</w:t>
      </w:r>
      <w:r>
        <w:t xml:space="preserve"> </w:t>
      </w:r>
      <w:r>
        <w:rPr>
          <w:iCs/>
          <w:i/>
          <w:bCs/>
          <w:b/>
        </w:rPr>
        <w:t xml:space="preserve">CANADA TORONTO</w:t>
      </w:r>
      <w:r>
        <w:t xml:space="preserve">. They prepared detailed cash-flow forecasts that accounted for seasonal variations common in the Canadian tech industry. Furthermore, they advised on the financial implications of hiring international talent, ensuring compliance with Work Permit requirements and cross-border tax treaties. This advisory role was pivotal when Apex considered expanding its sales team into Quebec; the</w:t>
      </w:r>
      <w:r>
        <w:t xml:space="preserve"> </w:t>
      </w:r>
      <w:r>
        <w:rPr>
          <w:bCs/>
          <w:b/>
          <w:iCs/>
          <w:i/>
        </w:rPr>
        <w:t xml:space="preserve">ACCOUNTANT</w:t>
      </w:r>
      <w:r>
        <w:t xml:space="preserve"> </w:t>
      </w:r>
      <w:r>
        <w:t xml:space="preserve">provided a comparative analysis of corporate tax rates between Ontario and Quebec, guiding a nuanced expansion strategy.</w:t>
      </w:r>
    </w:p>
    <w:bookmarkEnd w:id="24"/>
    <w:bookmarkEnd w:id="25"/>
    <w:bookmarkStart w:id="26" w:name="implementation-process"/>
    <w:p>
      <w:pPr>
        <w:pStyle w:val="Heading2"/>
      </w:pPr>
      <w:r>
        <w:t xml:space="preserve">4. Implementation Process</w:t>
      </w:r>
    </w:p>
    <w:p>
      <w:pPr>
        <w:pStyle w:val="FirstParagraph"/>
      </w:pPr>
      <w:r>
        <w:t xml:space="preserve">The implementation phase lasted six months and involved rigorous collaboration:</w:t>
      </w:r>
      <w:r>
        <w:t xml:space="preserve"> </w:t>
      </w:r>
      <w:r>
        <w:t xml:space="preserve">* **Month 1-2:** Data migration, historical audit, and correction of past HST filings with the CRA. The</w:t>
      </w:r>
      <w:r>
        <w:t xml:space="preserve"> </w:t>
      </w:r>
      <w:r>
        <w:rPr>
          <w:bCs/>
          <w:b/>
          <w:iCs/>
          <w:i/>
        </w:rPr>
        <w:t xml:space="preserve">ACCOUNTANT</w:t>
      </w:r>
      <w:r>
        <w:t xml:space="preserve"> </w:t>
      </w:r>
      <w:r>
        <w:t xml:space="preserve">facilitated direct communication with tax authorities to resolve discrepancies in</w:t>
      </w:r>
      <w:r>
        <w:t xml:space="preserve"> </w:t>
      </w:r>
      <w:r>
        <w:rPr>
          <w:iCs/>
          <w:i/>
          <w:bCs/>
          <w:b/>
        </w:rPr>
        <w:t xml:space="preserve">CANADA TORONTO</w:t>
      </w:r>
      <w:r>
        <w:t xml:space="preserve">.</w:t>
      </w:r>
      <w:r>
        <w:t xml:space="preserve"> </w:t>
      </w:r>
      <w:r>
        <w:t xml:space="preserve">* **Month 3-4:** Setup of SR&amp;ED tracking systems and initial claim preparation. Training was provided to the finance team on how to document engineering hours accurately, a common pain point for tech firms.</w:t>
      </w:r>
      <w:r>
        <w:t xml:space="preserve"> </w:t>
      </w:r>
      <w:r>
        <w:t xml:space="preserve">* **Month 5-6:** Integration of new accounting software with payroll providers compliant with Ontario laws. The</w:t>
      </w:r>
      <w:r>
        <w:t xml:space="preserve"> </w:t>
      </w:r>
      <w:r>
        <w:rPr>
          <w:bCs/>
          <w:b/>
          <w:iCs/>
          <w:i/>
        </w:rPr>
        <w:t xml:space="preserve">ACCOUNTANT</w:t>
      </w:r>
      <w:r>
        <w:t xml:space="preserve"> </w:t>
      </w:r>
      <w:r>
        <w:t xml:space="preserve">conducted quarterly review meetings to assess KPIs specific to the Toronto market benchmarks.</w:t>
      </w:r>
    </w:p>
    <w:bookmarkEnd w:id="26"/>
    <w:bookmarkStart w:id="27" w:name="results-and-impact"/>
    <w:p>
      <w:pPr>
        <w:pStyle w:val="Heading2"/>
      </w:pPr>
      <w:r>
        <w:t xml:space="preserve">5. Results and Impact</w:t>
      </w:r>
    </w:p>
    <w:p>
      <w:pPr>
        <w:pStyle w:val="FirstParagraph"/>
      </w:pPr>
      <w:r>
        <w:t xml:space="preserve">The engagement yielded measurable success for Apex Innovations, demonstrating the value of a specialized</w:t>
      </w:r>
      <w:r>
        <w:t xml:space="preserve"> </w:t>
      </w:r>
      <w:r>
        <w:rPr>
          <w:bCs/>
          <w:b/>
          <w:iCs/>
          <w:i/>
        </w:rPr>
        <w:t xml:space="preserve">ACCOUNTANT</w:t>
      </w:r>
      <w:r>
        <w:t xml:space="preserve"> </w:t>
      </w:r>
      <w:r>
        <w:t xml:space="preserve">operating in</w:t>
      </w:r>
      <w:r>
        <w:t xml:space="preserve"> </w:t>
      </w:r>
      <w:r>
        <w:rPr>
          <w:iCs/>
          <w:i/>
          <w:bCs/>
          <w:b/>
        </w:rPr>
        <w:t xml:space="preserve">CANADA TORONTO</w:t>
      </w:r>
      <w:r>
        <w:t xml:space="preserve">.</w:t>
      </w:r>
    </w:p>
    <w:p>
      <w:pPr>
        <w:numPr>
          <w:ilvl w:val="0"/>
          <w:numId w:val="1001"/>
        </w:numPr>
        <w:pStyle w:val="Compact"/>
      </w:pPr>
      <w:r>
        <w:t xml:space="preserve">Tax Savings:</w:t>
      </w:r>
      <w:r>
        <w:t xml:space="preserve"> </w:t>
      </w:r>
      <w:r>
        <w:t xml:space="preserve">Recovered $180,000 via SR&amp;ED credits and reduced overall tax liability by 25% through proper expense categorization.</w:t>
      </w:r>
    </w:p>
    <w:p>
      <w:pPr>
        <w:numPr>
          <w:ilvl w:val="0"/>
          <w:numId w:val="1001"/>
        </w:numPr>
        <w:pStyle w:val="Compact"/>
      </w:pPr>
      <w:r>
        <w:t xml:space="preserve">Compliance Status:</w:t>
      </w:r>
      <w:r>
        <w:t xml:space="preserve"> </w:t>
      </w:r>
      <w:r>
        <w:t xml:space="preserve">Achieved 100% compliance with CRA and Ontario provincial regulations. No penalties were incurred in the subsequent audit cycle.</w:t>
      </w:r>
    </w:p>
    <w:p>
      <w:pPr>
        <w:numPr>
          <w:ilvl w:val="0"/>
          <w:numId w:val="1001"/>
        </w:numPr>
        <w:pStyle w:val="Compact"/>
      </w:pPr>
      <w:r>
        <w:t xml:space="preserve">Operational Efficiency:</w:t>
      </w:r>
      <w:r>
        <w:t xml:space="preserve"> </w:t>
      </w:r>
      <w:r>
        <w:t xml:space="preserve">Reduced monthly closing time from 15 days to 5 days, freeing up management to focus on product development.</w:t>
      </w:r>
    </w:p>
    <w:p>
      <w:pPr>
        <w:numPr>
          <w:ilvl w:val="0"/>
          <w:numId w:val="1001"/>
        </w:numPr>
        <w:pStyle w:val="Compact"/>
      </w:pPr>
      <w:r>
        <w:t xml:space="preserve">Strategic Insight:</w:t>
      </w:r>
      <w:r>
        <w:t xml:space="preserve"> </w:t>
      </w:r>
      <w:r>
        <w:t xml:space="preserve">Gained a clear roadmap for international expansion, informed by detailed tax analysis provided by the</w:t>
      </w:r>
      <w:r>
        <w:t xml:space="preserve"> </w:t>
      </w:r>
      <w:r>
        <w:rPr>
          <w:bCs/>
          <w:b/>
          <w:iCs/>
          <w:i/>
        </w:rPr>
        <w:t xml:space="preserve">ACCOUNTANT</w:t>
      </w:r>
      <w:r>
        <w:t xml:space="preserve">.</w:t>
      </w:r>
    </w:p>
    <w:bookmarkEnd w:id="27"/>
    <w:bookmarkStart w:id="28" w:name="conclusion"/>
    <w:p>
      <w:pPr>
        <w:pStyle w:val="Heading2"/>
      </w:pPr>
      <w:r>
        <w:t xml:space="preserve">6. Conclusion</w:t>
      </w:r>
    </w:p>
    <w:p>
      <w:pPr>
        <w:pStyle w:val="FirstParagraph"/>
      </w:pPr>
      <w:r>
        <w:t xml:space="preserve">This case study underscores that in the dynamic business environment of</w:t>
      </w:r>
      <w:r>
        <w:t xml:space="preserve"> </w:t>
      </w:r>
      <w:r>
        <w:rPr>
          <w:iCs/>
          <w:i/>
          <w:bCs/>
          <w:b/>
        </w:rPr>
        <w:t xml:space="preserve">CANADA TORONTO</w:t>
      </w:r>
      <w:r>
        <w:rPr>
          <w:bCs/>
          <w:b/>
        </w:rPr>
        <w:t xml:space="preserve">, generic financial advice is often insufficient for growing technology firms. The complexity of federal and provincial tax laws, particularly regarding R&amp;D incentives and HST, demands a high level of expertise.</w:t>
      </w:r>
      <w:r>
        <w:rPr>
          <w:bCs/>
          <w:b/>
        </w:rPr>
        <w:t xml:space="preserve"> </w:t>
      </w:r>
      <w:r>
        <w:rPr>
          <w:bCs/>
          <w:b/>
        </w:rPr>
        <w:t xml:space="preserve">Apex Innovations’ success illustrates that partnering with a dedicated</w:t>
      </w:r>
      <w:r>
        <w:rPr>
          <w:bCs/>
          <w:b/>
        </w:rPr>
        <w:t xml:space="preserve"> </w:t>
      </w:r>
      <w:r>
        <w:rPr>
          <w:bCs/>
          <w:b/>
          <w:iCs/>
          <w:i/>
          <w:bCs/>
          <w:b/>
        </w:rPr>
        <w:t xml:space="preserve">ACCOUNTANT</w:t>
      </w:r>
      <w:r>
        <w:rPr>
          <w:bCs/>
          <w:b/>
        </w:rPr>
        <w:t xml:space="preserve"> </w:t>
      </w:r>
      <w:r>
        <w:rPr>
          <w:bCs/>
          <w:b/>
        </w:rPr>
        <w:t xml:space="preserve">who understands the local nuances of</w:t>
      </w:r>
      <w:r>
        <w:rPr>
          <w:bCs/>
          <w:b/>
        </w:rPr>
        <w:t xml:space="preserve"> </w:t>
      </w:r>
      <w:r>
        <w:rPr>
          <w:iCs/>
          <w:i/>
          <w:bCs/>
          <w:b/>
          <w:bCs/>
          <w:b/>
        </w:rPr>
        <w:t xml:space="preserve">CANADA TORONTO</w:t>
      </w:r>
      <w:r>
        <w:rPr>
          <w:bCs/>
          <w:b/>
          <w:bCs/>
          <w:b/>
        </w:rPr>
        <w:t xml:space="preserve"> </w:t>
      </w:r>
      <w:r>
        <w:rPr>
          <w:bCs/>
          <w:b/>
          <w:bCs/>
          <w:b/>
        </w:rPr>
        <w:t xml:space="preserve">is not merely an administrative necessity but a strategic imperative. The right accounting partnership transforms compliance from a burden into a competitive advantage, ensuring sustainable growth and financial resilience in one of Canada’s most economically powerful cities.</w:t>
      </w:r>
    </w:p>
    <w:bookmarkEnd w:id="28"/>
    <w:bookmarkStart w:id="29" w:name="Xbbad8192a6647248c86114d25658a09b85436a4"/>
    <w:p>
      <w:pPr>
        <w:pStyle w:val="Heading2"/>
      </w:pPr>
      <w:r>
        <w:t xml:space="preserve">7. Key Takeaways for Businesses in Canada Toronto</w:t>
      </w:r>
    </w:p>
    <w:p>
      <w:pPr>
        <w:numPr>
          <w:ilvl w:val="0"/>
          <w:numId w:val="1002"/>
        </w:numPr>
        <w:pStyle w:val="Compact"/>
      </w:pPr>
      <w:r>
        <w:rPr>
          <w:bCs/>
          <w:b/>
        </w:rPr>
        <w:t xml:space="preserve">Hire Locally Specialized:</w:t>
      </w:r>
      <w:r>
        <w:t xml:space="preserve"> </w:t>
      </w:r>
      <w:r>
        <w:t xml:space="preserve">Ensure your</w:t>
      </w:r>
      <w:r>
        <w:t xml:space="preserve"> </w:t>
      </w:r>
      <w:r>
        <w:rPr>
          <w:bCs/>
          <w:b/>
          <w:iCs/>
          <w:i/>
        </w:rPr>
        <w:t xml:space="preserve">ACCOUNTANT</w:t>
      </w:r>
      <w:r>
        <w:t xml:space="preserve"> </w:t>
      </w:r>
      <w:r>
        <w:t xml:space="preserve">has specific experience with Ontario tax codes and the local tech ecosystem.</w:t>
      </w:r>
    </w:p>
    <w:p>
      <w:pPr>
        <w:numPr>
          <w:ilvl w:val="0"/>
          <w:numId w:val="1002"/>
        </w:numPr>
        <w:pStyle w:val="Compact"/>
      </w:pPr>
      <w:r>
        <w:rPr>
          <w:bCs/>
          <w:b/>
        </w:rPr>
        <w:t xml:space="preserve">Prioritize SR&amp;ED:</w:t>
      </w:r>
      <w:r>
        <w:t xml:space="preserve"> </w:t>
      </w:r>
      <w:r>
        <w:t xml:space="preserve">Do not overlook R&amp;D credits; this is a major source of non-dilutive funding for tech companies in</w:t>
      </w:r>
    </w:p>
    <w:p>
      <w:pPr>
        <w:numPr>
          <w:ilvl w:val="0"/>
          <w:numId w:val="1000"/>
        </w:numPr>
        <w:pStyle w:val="Compact"/>
      </w:pPr>
      <w:r>
        <w:rPr>
          <w:iCs/>
          <w:i/>
        </w:rPr>
        <w:t xml:space="preserve">CANADA TORONTO</w:t>
      </w:r>
      <w:r>
        <w:t xml:space="preserve">.</w:t>
      </w:r>
    </w:p>
    <w:p>
      <w:pPr>
        <w:numPr>
          <w:ilvl w:val="0"/>
          <w:numId w:val="1002"/>
        </w:numPr>
        <w:pStyle w:val="Compact"/>
      </w:pPr>
      <w:r>
        <w:rPr>
          <w:bCs/>
          <w:b/>
        </w:rPr>
        <w:t xml:space="preserve">Integrate Early:</w:t>
      </w:r>
      <w:r>
        <w:t xml:space="preserve"> </w:t>
      </w:r>
      <w:r>
        <w:t xml:space="preserve">Integrate your accounting systems with payroll and invoicing early to maintain clean records for CRA audits.</w:t>
      </w:r>
    </w:p>
    <w:p>
      <w:r>
        <w:pict>
          <v:rect style="width:0;height:1.5pt" o:hralign="center" o:hrstd="t" o:hr="t"/>
        </w:pict>
      </w:r>
    </w:p>
    <w:p>
      <w:pPr>
        <w:pStyle w:val="FirstParagraph"/>
      </w:pPr>
      <w:r>
        <w:rPr>
          <w:iCs/>
          <w:i/>
        </w:rPr>
        <w:t xml:space="preserve">Note: This document is a fictional case study created for illustrative purposes regarding financial services in Canada Toronto.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Partnership for a Tech Startup in Canada Toronto</dc:title>
  <dc:creator/>
  <dc:language>en</dc:language>
  <cp:keywords/>
  <dcterms:created xsi:type="dcterms:W3CDTF">2026-07-29T14:12:40Z</dcterms:created>
  <dcterms:modified xsi:type="dcterms:W3CDTF">2026-07-29T14:12:40Z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