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38102eec52486a8b54a0c43698a4968498b650"/>
    <w:p>
      <w:pPr>
        <w:pStyle w:val="Heading1"/>
      </w:pPr>
      <w:r>
        <w:t xml:space="preserve">Strategic Financial Stewardship in the Pacific Northwest</w:t>
      </w:r>
    </w:p>
    <w:p>
      <w:pPr>
        <w:pStyle w:val="FirstParagraph"/>
      </w:pPr>
      <w:r>
        <w:rPr>
          <w:bCs/>
          <w:b/>
        </w:rPr>
        <w:t xml:space="preserve">A Comprehensive Case Study on the Role of an Accountant within the Business Landscape of Canada Vancouver</w:t>
      </w:r>
    </w:p>
    <w:p>
      <w:pPr>
        <w:pStyle w:val="BodyText"/>
      </w:pPr>
      <w:r>
        <w:t xml:space="preserve">p&gt;In recent years,</w:t>
      </w:r>
    </w:p>
    <w:p>
      <w:pPr>
        <w:pStyle w:val="BodyText"/>
      </w:pPr>
      <w:r>
        <w:t xml:space="preserve">Vancouver, Canada, has evolved from a scenic coastal city into a vibrant hub for international business, technology startups, and real estate development. However this rapid economic expansion has brought forth complex regulatory challenges especially concerning taxation compliance corporate governance and financial reporting. This case study explores the critical role of an</w:t>
      </w:r>
      <w:r>
        <w:t xml:space="preserve"> </w:t>
      </w:r>
      <w:r>
        <w:rPr>
          <w:bCs/>
          <w:b/>
        </w:rPr>
        <w:t xml:space="preserve">Accountant</w:t>
      </w:r>
      <w:r>
        <w:t xml:space="preserve"> </w:t>
      </w:r>
      <w:r>
        <w:t xml:space="preserve">in navigating these complexities specifically tailored to the unique economic environment of</w:t>
      </w:r>
    </w:p>
    <w:p>
      <w:pPr>
        <w:pStyle w:val="BodyText"/>
      </w:pPr>
      <w:r>
        <w:t xml:space="preserve">Canada Vancouver. By examining a representative scenario involving a mid-sized technology firm expanding its operations across British Columbia this document highlights how professional accounting services serve not merely as a compliance function but as a strategic asset for sustainable growth.</w:t>
      </w:r>
    </w:p>
    <w:p>
      <w:pPr>
        <w:pStyle w:val="BodyText"/>
      </w:pPr>
      <w:r>
        <w:t xml:space="preserve">p&gt;</w:t>
      </w:r>
    </w:p>
    <w:p>
      <w:pPr>
        <w:pStyle w:val="BodyText"/>
      </w:pPr>
      <w:r>
        <w:t xml:space="preserve">Vancouver, Canada, is characterized by its unique position as a gateway between Asia and North America. Its economy is driven by several key sectors including natural resources technology real estate and international trade. For businesses operating in this region the regulatory framework is governed primarily by provincial laws in British Columbia as well as federal regulations imposed by the Canada Revenue Agency (CRA). The high cost of living competitive talent market and stringent environmental standards add layers of complexity to financial management.</w:t>
      </w:r>
    </w:p>
    <w:p>
      <w:pPr>
        <w:pStyle w:val="BodyText"/>
      </w:pPr>
      <w:r>
        <w:t xml:space="preserve">One significant challenge faced by companies in</w:t>
      </w:r>
      <w:r>
        <w:t xml:space="preserve"> </w:t>
      </w:r>
      <w:r>
        <w:rPr>
          <w:bCs/>
          <w:b/>
        </w:rPr>
        <w:t xml:space="preserve">Vancouver, Canada</w:t>
      </w:r>
      <w:r>
        <w:t xml:space="preserve">, is the intricate nature of sales tax structures. With both Federal Goods and Services Tax (GST) and Provincial Sales Tax (PST) historically playing a role although recent harmonization efforts have streamlined some processes businesses must remain vigilant regarding tax credits such as the Canadian Home Buyers Plan or various green energy incentives available in BC. Furthermore cross-border transactions with Asia require meticulous currency risk management and adherence to international transfer pricing regulations.</w:t>
      </w:r>
    </w:p>
    <w:bookmarkStart w:id="20" w:name="section"/>
    <w:p>
      <w:pPr>
        <w:pStyle w:val="Heading2"/>
      </w:pPr>
    </w:p>
    <w:p>
      <w:pPr>
        <w:pStyle w:val="FirstParagraph"/>
      </w:pPr>
      <w:r>
        <w:t xml:space="preserve">To illustrate the practical application of accounting expertise this case study focuses on</w:t>
      </w:r>
      <w:r>
        <w:t xml:space="preserve"> </w:t>
      </w:r>
      <w:r>
        <w:rPr>
          <w:bCs/>
          <w:b/>
        </w:rPr>
        <w:t xml:space="preserve">TechNova Solutions Inc.</w:t>
      </w:r>
      <w:r>
        <w:t xml:space="preserve"> </w:t>
      </w:r>
      <w:r>
        <w:t xml:space="preserve">a hypothetical mid-sized software development firm headquartered in</w:t>
      </w:r>
    </w:p>
    <w:p>
      <w:pPr>
        <w:pStyle w:val="BodyText"/>
      </w:pPr>
      <w:r>
        <w:t xml:space="preserve">Vancouver, Canada. Established five years prior TechNova had experienced exponential growth due to increased demand for cloud-based services in the Asian market. While revenue streams were robust the company faced internal struggles regarding cash flow management tax optimization and long-term strategic planning.</w:t>
      </w:r>
    </w:p>
    <w:p>
      <w:pPr>
        <w:pStyle w:val="BodyText"/>
      </w:pPr>
      <w:r>
        <w:t xml:space="preserve">Specifically TechNova encountered three primary issues:</w:t>
      </w:r>
    </w:p>
    <w:p>
      <w:pPr>
        <w:numPr>
          <w:ilvl w:val="0"/>
          <w:numId w:val="1001"/>
        </w:numPr>
        <w:pStyle w:val="Compact"/>
      </w:pPr>
      <w:r>
        <w:t xml:space="preserve">Inefficient payroll processing leading to potential non-compliance with British Columbia’s employment standards.</w:t>
      </w:r>
    </w:p>
    <w:p>
      <w:pPr>
        <w:numPr>
          <w:ilvl w:val="0"/>
          <w:numId w:val="1001"/>
        </w:numPr>
        <w:pStyle w:val="Compact"/>
      </w:pPr>
      <w:r>
        <w:t xml:space="preserve">Lack of clarity regarding R&amp;D tax credits (SR&amp;ED) which could significantly reduce their federal tax burden.</w:t>
      </w:r>
    </w:p>
    <w:p>
      <w:pPr>
        <w:pStyle w:val="FirstParagraph"/>
      </w:pPr>
      <w:r>
        <w:t xml:space="preserve">As TechNova expanded its workforce from fifty to two hundred employees over eighteen months it became evident that its existing ad-hoc financial practices were insufficient. The company lacked a dedicated accounting department relying instead on freelance bookkeepers who were familiar with basic record-keeping but lacked strategic insight into Canadian tax law and provincial compliance requirements.</w:t>
      </w:r>
    </w:p>
    <w:p>
      <w:pPr>
        <w:pStyle w:val="BodyText"/>
      </w:pPr>
      <w:r>
        <w:t xml:space="preserve">The absence of a structured financial approach resulted in delayed filings missed opportunities for tax incentives and occasional discrepancies in payroll remittances to the Canada Revenue Agency (CRA). In the highly regulated business environment of</w:t>
      </w:r>
    </w:p>
    <w:p>
      <w:pPr>
        <w:pStyle w:val="BodyText"/>
      </w:pPr>
      <w:r>
        <w:t xml:space="preserve">Canada Vancouver, such oversights could lead to hefty penalties audits and reputational damage among investors and partners.</w:t>
      </w:r>
    </w:p>
    <w:bookmarkEnd w:id="20"/>
    <w:bookmarkStart w:id="21" w:name="section-1"/>
    <w:p>
      <w:pPr>
        <w:pStyle w:val="Heading2"/>
      </w:pPr>
    </w:p>
    <w:p>
      <w:pPr>
        <w:pStyle w:val="FirstParagraph"/>
      </w:pPr>
      <w:r>
        <w:t xml:space="preserve">To address these challenges TechNova engaged a local firm specializing in accounting services within</w:t>
      </w:r>
      <w:r>
        <w:t xml:space="preserve"> </w:t>
      </w:r>
      <w:r>
        <w:rPr>
          <w:bCs/>
          <w:b/>
        </w:rPr>
        <w:t xml:space="preserve">Vancouver, Canada</w:t>
      </w:r>
      <w:r>
        <w:t xml:space="preserve">. The appointed</w:t>
      </w:r>
    </w:p>
    <w:p>
      <w:pPr>
        <w:pStyle w:val="BodyText"/>
      </w:pPr>
      <w:r>
        <w:t xml:space="preserve">Accountant, certified as a Chartered Professional Accountant (CPA) with expertise in corporate finance and taxation, initiated a comprehensive overhaul of the company’s financial systems.</w:t>
      </w:r>
    </w:p>
    <w:p>
      <w:pPr>
        <w:pStyle w:val="BodyText"/>
      </w:pPr>
      <w:r>
        <w:t xml:space="preserve">The first step involved implementing an enterprise resource planning (ERP) system integrated with modern accounting software tailored for Canadian businesses. This ensured real-time tracking of revenues expenses and liabilities in accordance with International Financial Reporting Standards (IFRS) as adopted by Canada. The</w:t>
      </w:r>
      <w:r>
        <w:t xml:space="preserve"> </w:t>
      </w:r>
      <w:r>
        <w:rPr>
          <w:bCs/>
          <w:b/>
        </w:rPr>
        <w:t xml:space="preserve">Accountant</w:t>
      </w:r>
      <w:r>
        <w:t xml:space="preserve"> </w:t>
      </w:r>
      <w:r>
        <w:t xml:space="preserve">conducted a thorough audit of past financial records to identify any discrepancies in GST/PST filings and payroll deductions correcting errors proactively before triggering CRA audits.</w:t>
      </w:r>
    </w:p>
    <w:p>
      <w:pPr>
        <w:pStyle w:val="BodyText"/>
      </w:pPr>
      <w:r>
        <w:t xml:space="preserve">A pivotal moment came when the</w:t>
      </w:r>
      <w:r>
        <w:t xml:space="preserve"> </w:t>
      </w:r>
      <w:r>
        <w:rPr>
          <w:bCs/>
          <w:b/>
        </w:rPr>
        <w:t xml:space="preserve">Accountant</w:t>
      </w:r>
      <w:r>
        <w:t xml:space="preserve"> </w:t>
      </w:r>
      <w:r>
        <w:t xml:space="preserve">identified TechNova’s eligibility for the Scientific Research and Experimental Development (SR&amp;ED) tax incentive program. Given that TechNova invests heavily in proprietary algorithm development a significant portion of its labor costs qualified for substantial refunds. The</w:t>
      </w:r>
      <w:r>
        <w:t xml:space="preserve"> </w:t>
      </w:r>
      <w:r>
        <w:rPr>
          <w:bCs/>
          <w:b/>
        </w:rPr>
        <w:t xml:space="preserve">Accountant</w:t>
      </w:r>
      <w:r>
        <w:t xml:space="preserve"> </w:t>
      </w:r>
      <w:r>
        <w:t xml:space="preserve">meticulously documented research activities technical support expenses and material costs ensuring all submissions met CRA standards.</w:t>
      </w:r>
    </w:p>
    <w:p>
      <w:pPr>
        <w:pStyle w:val="BodyText"/>
      </w:pPr>
      <w:r>
        <w:t xml:space="preserve">This strategic move saved the company approximately $450,000 CAD annually demonstrating how proactive accounting can directly enhance profitability rather than simply reporting historical data.</w:t>
      </w:r>
    </w:p>
    <w:p>
      <w:pPr>
        <w:pStyle w:val="BodyText"/>
      </w:pPr>
      <w:r>
        <w:t xml:space="preserve">Given that</w:t>
      </w:r>
      <w:r>
        <w:t xml:space="preserve"> </w:t>
      </w:r>
      <w:r>
        <w:rPr>
          <w:bCs/>
          <w:b/>
        </w:rPr>
        <w:t xml:space="preserve">Vancouver Canada</w:t>
      </w:r>
      <w:r>
        <w:t xml:space="preserve"> </w:t>
      </w:r>
      <w:r>
        <w:t xml:space="preserve">operates under specific provincial labor laws regarding minimum wage overtime pay and statutory holidays the</w:t>
      </w:r>
    </w:p>
    <w:p>
      <w:pPr>
        <w:pStyle w:val="BodyText"/>
      </w:pPr>
      <w:r>
        <w:t xml:space="preserve">Accountant redesigned the payroll process. By automating deductions for employment insurance (EI) and Canadian pension plan (CPP) contributions they ensured full compliance with federal requirements while also adhering to BC-specific mandates such as workers’ compensation premiums through WorkSafeBC.</w:t>
      </w:r>
    </w:p>
    <w:bookmarkEnd w:id="21"/>
    <w:bookmarkStart w:id="22" w:name="section-2"/>
    <w:p>
      <w:pPr>
        <w:pStyle w:val="Heading2"/>
      </w:pPr>
    </w:p>
    <w:p>
      <w:pPr>
        <w:pStyle w:val="FirstParagraph"/>
      </w:pPr>
      <w:r>
        <w:t xml:space="preserve">The engagement yielded transformative results for TechNova Solutions. Within twelve months the company achieved:</w:t>
      </w:r>
    </w:p>
    <w:p>
      <w:pPr>
        <w:numPr>
          <w:ilvl w:val="0"/>
          <w:numId w:val="1002"/>
        </w:numPr>
        <w:pStyle w:val="Compact"/>
      </w:pPr>
      <w:r>
        <w:t xml:space="preserve">100% compliance with all federal and provincial tax obligations eliminating risk of penalties.</w:t>
      </w:r>
    </w:p>
    <w:p>
      <w:pPr>
        <w:numPr>
          <w:ilvl w:val="0"/>
          <w:numId w:val="1003"/>
        </w:numPr>
        <w:pStyle w:val="Compact"/>
      </w:pPr>
      <w:r>
        <w:t xml:space="preserve">A 35% improvement in cash flow visibility allowing better investment decisions.</w:t>
      </w:r>
    </w:p>
    <w:p>
      <w:pPr>
        <w:numPr>
          <w:ilvl w:val="0"/>
          <w:numId w:val="1003"/>
        </w:numPr>
        <w:pStyle w:val="Compact"/>
      </w:pPr>
      <w:r>
        <w:t xml:space="preserve">$45,00 annual savings through successful SR&amp;ED claim processing</w:t>
      </w:r>
    </w:p>
    <w:p>
      <w:pPr>
        <w:pStyle w:val="FirstParagraph"/>
      </w:pPr>
      <w:r>
        <w:t xml:space="preserve">MOREOVER the CFO noted that having a trusted advisor—a professional</w:t>
      </w:r>
      <w:r>
        <w:t xml:space="preserve"> </w:t>
      </w:r>
      <w:r>
        <w:rPr>
          <w:bCs/>
          <w:b/>
        </w:rPr>
        <w:t xml:space="preserve">Accountant</w:t>
      </w:r>
      <w:r>
        <w:t xml:space="preserve"> </w:t>
      </w:r>
      <w:r>
        <w:t xml:space="preserve">deeply embedded in the local context of</w:t>
      </w:r>
    </w:p>
    <w:p>
      <w:pPr>
        <w:pStyle w:val="BodyText"/>
      </w:pPr>
      <w:r>
        <w:t xml:space="preserve">Vancouver Canada-enabled faster decision-making during critical phases such as securing venture capital funding. Investors praised TechNova’s financial transparency and robust internal controls which were direct outcomes of implementing rigorous accounting practices.</w:t>
      </w:r>
    </w:p>
    <w:bookmarkEnd w:id="22"/>
    <w:bookmarkStart w:id="23" w:name="section-3"/>
    <w:p>
      <w:pPr>
        <w:pStyle w:val="Heading2"/>
      </w:pPr>
    </w:p>
    <w:p>
      <w:pPr>
        <w:pStyle w:val="FirstParagraph"/>
      </w:pPr>
      <w:r>
        <w:t xml:space="preserve">This case underscores several key takeaways relevant to any organization operating in</w:t>
      </w:r>
    </w:p>
    <w:p>
      <w:pPr>
        <w:pStyle w:val="BodyText"/>
      </w:pPr>
      <w:r>
        <w:t xml:space="preserve">Vancouver Canada:</w:t>
      </w:r>
    </w:p>
    <w:p>
      <w:pPr>
        <w:numPr>
          <w:ilvl w:val="0"/>
          <w:numId w:val="1004"/>
        </w:numPr>
        <w:pStyle w:val="Compact"/>
      </w:pPr>
      <w:r>
        <w:t xml:space="preserve">Regulatory Awareness is Paramount:</w:t>
      </w:r>
    </w:p>
    <w:p>
      <w:pPr>
        <w:pStyle w:val="FirstParagraph"/>
      </w:pPr>
      <w:r>
        <w:t xml:space="preserve">The interplay between federal (CRA) and provincial (BC Ministry of Finance) regulations creates a dual-layered compliance burden. Only specialized knowledge can navigate this landscape effectively.</w:t>
      </w:r>
    </w:p>
    <w:p>
      <w:pPr>
        <w:pStyle w:val="BodyText"/>
      </w:pPr>
      <w:r>
        <w:t xml:space="preserve">An</w:t>
      </w:r>
      <w:r>
        <w:t xml:space="preserve"> </w:t>
      </w:r>
      <w:r>
        <w:rPr>
          <w:bCs/>
          <w:b/>
        </w:rPr>
        <w:t xml:space="preserve">Accountant</w:t>
      </w:r>
      <w:r>
        <w:t xml:space="preserve"> </w:t>
      </w:r>
      <w:r>
        <w:t xml:space="preserve">familiar with local market trends in</w:t>
      </w:r>
    </w:p>
    <w:p>
      <w:pPr>
        <w:pStyle w:val="BodyText"/>
      </w:pPr>
      <w:r>
        <w:t xml:space="preserve">Vancouver Canada, such as real estate valuation methods or tech sector depreciation schedules provides insights that generic solutions cannot match. This localization ensures strategies are culturally and economically appropriate.</w:t>
      </w:r>
    </w:p>
    <w:p>
      <w:pPr>
        <w:pStyle w:val="BodyText"/>
      </w:pPr>
      <w:r>
        <w:t xml:space="preserve">While digital tools automate routine tasks the strategic value lies in human interpretation. The best outcomes arise when technology supports rather than replaces the analytical judgment of a skilled</w:t>
      </w:r>
      <w:r>
        <w:t xml:space="preserve"> </w:t>
      </w:r>
      <w:r>
        <w:rPr>
          <w:bCs/>
          <w:b/>
        </w:rPr>
        <w:t xml:space="preserve">Accountant</w:t>
      </w:r>
      <w:r>
        <w:t xml:space="preserve">.</w:t>
      </w:r>
    </w:p>
    <w:bookmarkEnd w:id="23"/>
    <w:bookmarkStart w:id="24" w:name="section-4"/>
    <w:p>
      <w:pPr>
        <w:pStyle w:val="Heading2"/>
      </w:pPr>
    </w:p>
    <w:p>
      <w:pPr>
        <w:pStyle w:val="FirstParagraph"/>
      </w:pPr>
      <w:r>
        <w:t xml:space="preserve">In conclusion this case study demonstrates that employing a competent</w:t>
      </w:r>
    </w:p>
    <w:p>
      <w:pPr>
        <w:pStyle w:val="BodyText"/>
      </w:pPr>
      <w:r>
        <w:t xml:space="preserve">Accountant is not merely an operational necessity but a strategic imperative for businesses thriving in the dynamic environment of</w:t>
      </w:r>
    </w:p>
    <w:p>
      <w:pPr>
        <w:pStyle w:val="BodyText"/>
      </w:pPr>
      <w:r>
        <w:t xml:space="preserve">Vancouver Canada.. Through rigorous compliance accurate reporting and proactive tax planning accounting professionals enable companies like TechNova Solutions to mitigate risks seize opportunities and achieve sustainable growth. As Vancouver continues to solidify its status as a global business hub the demand for high-quality accounting services will only intensify. Organizations that recognize the pivotal role of their financial advisors stand to gain significant competitive advantages in an increasingly complex marketplace.</w:t>
      </w:r>
    </w:p>
    <w:p>
      <w:pPr>
        <w:pStyle w:val="BodyText"/>
      </w:pPr>
      <w:r>
        <w:t xml:space="preserve">© 2023 Business Insights Group. All rights reserved.</w:t>
      </w:r>
      <w:r>
        <w:br/>
      </w:r>
      <w:r>
        <w:t xml:space="preserve">This document is intended for informational purposes only.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2026-07-29T06:27:51Z</dcterms:created>
  <dcterms:modified xsi:type="dcterms:W3CDTF">2026-07-29T06:27:51Z</dcterms:modified>
</cp:coreProperties>
</file>

<file path=docProps/custom.xml><?xml version="1.0" encoding="utf-8"?>
<Properties xmlns="http://schemas.openxmlformats.org/officeDocument/2006/custom-properties" xmlns:vt="http://schemas.openxmlformats.org/officeDocument/2006/docPropsVTypes"/>
</file>