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for</w:t>
      </w:r>
      <w:r>
        <w:t xml:space="preserve"> </w:t>
      </w:r>
      <w:r>
        <w:t xml:space="preserve">an</w:t>
      </w:r>
      <w:r>
        <w:t xml:space="preserve"> </w:t>
      </w:r>
      <w:r>
        <w:t xml:space="preserve">SME</w:t>
      </w:r>
      <w:r>
        <w:t xml:space="preserve"> </w:t>
      </w:r>
      <w:r>
        <w:t xml:space="preserve">in</w:t>
      </w:r>
      <w:r>
        <w:t xml:space="preserve"> </w:t>
      </w:r>
      <w:r>
        <w:t xml:space="preserve">Colombia</w:t>
      </w:r>
      <w:r>
        <w:t xml:space="preserve"> </w:t>
      </w:r>
      <w:r>
        <w:t xml:space="preserve">Bogotá</w:t>
      </w:r>
    </w:p>
    <w:bookmarkStart w:id="29" w:name="X6c302c45f4b5df092ce16d73ba3f01e84c4045f"/>
    <w:p>
      <w:pPr>
        <w:pStyle w:val="Heading1"/>
      </w:pPr>
      <w:r>
        <w:t xml:space="preserve">Bridging the Gap: A Case Study on the Role of an Accountant in Colombia Bogotá</w:t>
      </w:r>
    </w:p>
    <w:p>
      <w:pPr>
        <w:pStyle w:val="FirstParagraph"/>
      </w:pPr>
      <w:r>
        <w:rPr>
          <w:bCs/>
          <w:b/>
        </w:rPr>
        <w:t xml:space="preserve">Date:</w:t>
      </w:r>
      <w:r>
        <w:t xml:space="preserve"> </w:t>
      </w:r>
      <w:r>
        <w:t xml:space="preserve">October 24, 2023</w:t>
      </w:r>
      <w:r>
        <w:br/>
      </w:r>
      <w:r>
        <w:rPr>
          <w:bCs/>
          <w:b/>
        </w:rPr>
        <w:t xml:space="preserve">Subject:</w:t>
      </w:r>
      <w:r>
        <w:t xml:space="preserve">The Critical Evolution of Professional Accounting Services in a Dynamic Emerging Market</w:t>
      </w:r>
      <w:r>
        <w:br/>
      </w:r>
      <w:r>
        <w:rPr>
          <w:bCs/>
          <w:b/>
        </w:rPr>
        <w:t xml:space="preserve">Location Focus:</w:t>
      </w:r>
      <w:r>
        <w:t xml:space="preserve"> Colombia Bogotá</w:t>
      </w:r>
    </w:p>
    <w:bookmarkStart w:id="20" w:name="executive-summary"/>
    <w:p>
      <w:pPr>
        <w:pStyle w:val="Heading2"/>
      </w:pPr>
      <w:r>
        <w:t xml:space="preserve">1. Executive Summary</w:t>
      </w:r>
    </w:p>
    <w:p>
      <w:pPr>
        <w:pStyle w:val="FirstParagraph"/>
      </w:pPr>
      <w:r>
        <w:t xml:space="preserve">In the rapidly evolving economic landscape of Latin America,</w:t>
      </w:r>
      <w:r>
        <w:t xml:space="preserve"> </w:t>
      </w:r>
      <w:r>
        <w:t xml:space="preserve">Colombia Bogotá</w:t>
      </w:r>
      <w:r>
        <w:t xml:space="preserve"> stands out as a premier hub for innovation, commerce, and foreign investment. As one of the most dynamic cities in South America, it attracts thousands of new businesses annually. However amidst this growth lies a significant challenge: navigating the complex regulatory framework imposed by the</w:t>
      </w:r>
      <w:r>
        <w:t xml:space="preserve"> </w:t>
      </w:r>
      <w:r>
        <w:t xml:space="preserve">Accountant</w:t>
      </w:r>
      <w:r>
        <w:t xml:space="preserve"> professionals are no longer merely bookkeepers; they have become strategic partners essential for compliance, tax optimization, and sustainable growth.</w:t>
      </w:r>
    </w:p>
    <w:p>
      <w:pPr>
        <w:pStyle w:val="BodyText"/>
      </w:pPr>
      <w:r>
        <w:t xml:space="preserve">This</w:t>
      </w:r>
      <w:r>
        <w:t xml:space="preserve"> </w:t>
      </w:r>
      <w:r>
        <w:rPr>
          <w:bCs/>
          <w:b/>
        </w:rPr>
        <w:t xml:space="preserve">Case Study</w:t>
      </w:r>
      <w:r>
        <w:t xml:space="preserve"> explores how a mid-sized technology startup in</w:t>
      </w:r>
      <w:r>
        <w:t xml:space="preserve"> </w:t>
      </w:r>
      <w:r>
        <w:t xml:space="preserve">Colombia Bogotá</w:t>
      </w:r>
      <w:r>
        <w:t xml:space="preserve"> navigated its first three years of operation by leveraging specialized accounting expertise. It highlights the shift from traditional compliance to strategic financial advisory, demonstrating why understanding local fiscal laws is paramount for success in this specific geographic and economic context.</w:t>
      </w:r>
    </w:p>
    <w:bookmarkEnd w:id="20"/>
    <w:bookmarkStart w:id="21" w:name="X34d4da2ab8ab2f3e66372b371ce7ba228e481ee"/>
    <w:p>
      <w:pPr>
        <w:pStyle w:val="Heading2"/>
      </w:pPr>
      <w:r>
        <w:t xml:space="preserve">2. Company Background: The Challenge in Context</w:t>
      </w:r>
    </w:p>
    <w:p>
      <w:pPr>
        <w:pStyle w:val="FirstParagraph"/>
      </w:pPr>
      <w:r>
        <w:rPr>
          <w:bCs/>
          <w:b/>
        </w:rPr>
        <w:t xml:space="preserve">TechNova Solutions</w:t>
      </w:r>
      <w:r>
        <w:t xml:space="preserve">, a fictionalized but representative entity based in the Chapinero district of</w:t>
      </w:r>
      <w:r>
        <w:t xml:space="preserve"> </w:t>
      </w:r>
      <w:r>
        <w:t xml:space="preserve">Colombia Bogotá</w:t>
      </w:r>
      <w:r>
        <w:t xml:space="preserve">, was founded by three engineers returning from abroad. They aimed to provide SaaS (Software as a Service) solutions to local enterprises. While their technical product was robust, they lacked internal financial structure.</w:t>
      </w:r>
    </w:p>
    <w:p>
      <w:pPr>
        <w:pStyle w:val="BodyText"/>
      </w:pPr>
      <w:r>
        <w:t xml:space="preserve">Operating in</w:t>
      </w:r>
      <w:r>
        <w:t xml:space="preserve"> </w:t>
      </w:r>
      <w:r>
        <w:t xml:space="preserve">Colombia Bogotá</w:t>
      </w:r>
      <w:r>
        <w:t xml:space="preserve"> presents unique hurdles:</w:t>
      </w:r>
    </w:p>
    <w:p>
      <w:pPr>
        <w:numPr>
          <w:ilvl w:val="0"/>
          <w:numId w:val="1001"/>
        </w:numPr>
        <w:pStyle w:val="Compact"/>
      </w:pPr>
      <w:r>
        <w:rPr>
          <w:bCs/>
          <w:b/>
        </w:rPr>
        <w:t xml:space="preserve">Cultural Nuances:</w:t>
      </w:r>
      <w:r>
        <w:t xml:space="preserve"> Business practices often rely heavily on personal relationships and trust, requiring a delicate balance between formal compliance and informal networking.</w:t>
      </w:r>
    </w:p>
    <w:p>
      <w:pPr>
        <w:numPr>
          <w:ilvl w:val="0"/>
          <w:numId w:val="1001"/>
        </w:numPr>
        <w:pStyle w:val="Compact"/>
      </w:pPr>
      <w:r>
        <w:rPr>
          <w:bCs/>
          <w:b/>
        </w:rPr>
        <w:t xml:space="preserve">Economic Volatility:</w:t>
      </w:r>
      <w:r>
        <w:t xml:space="preserve"> Fluctuations in the Colombian Peso (COP) against the US Dollar impact international contracts and local purchasing power.</w:t>
      </w:r>
    </w:p>
    <w:p>
      <w:pPr>
        <w:numPr>
          <w:ilvl w:val="0"/>
          <w:numId w:val="1001"/>
        </w:numPr>
        <w:pStyle w:val="Compact"/>
      </w:pPr>
      <w:r>
        <w:rPr>
          <w:bCs/>
          <w:b/>
        </w:rPr>
        <w:t xml:space="preserve">Bureaucracy:</w:t>
      </w:r>
      <w:r>
        <w:t xml:space="preserve"> Despite improvements, dealing with entities like DIAN (Dirección de Impuestos y Aduanas Nacionales) requires precise documentation and timely filing.</w:t>
      </w:r>
    </w:p>
    <w:p>
      <w:pPr>
        <w:pStyle w:val="FirstParagraph"/>
      </w:pPr>
      <w:r>
        <w:t xml:space="preserve">The founders initially attempted to manage finances using generic international software. They quickly realized that this approach failed to account for specific local requirements, leading to potential penalties and missed tax deductions. The crisis point arrived when they faced an unexpected audit due to discrepancies in their VAT (IVA) filings, a common pitfall for new businesses.</w:t>
      </w:r>
    </w:p>
    <w:bookmarkEnd w:id="21"/>
    <w:bookmarkStart w:id="24" w:name="intervention-integrating-the-accountant"/>
    <w:p>
      <w:pPr>
        <w:pStyle w:val="Heading2"/>
      </w:pPr>
      <w:r>
        <w:t xml:space="preserve">3. Intervention: Integrating the Accountant</w:t>
      </w:r>
    </w:p>
    <w:p>
      <w:pPr>
        <w:pStyle w:val="FirstParagraph"/>
      </w:pPr>
      <w:r>
        <w:t xml:space="preserve">To resolve these issues, TechNova Solutions hired a specialized</w:t>
      </w:r>
      <w:r>
        <w:t xml:space="preserve"> </w:t>
      </w:r>
      <w:r>
        <w:t xml:space="preserve">Accountant</w:t>
      </w:r>
      <w:r>
        <w:t xml:space="preserve"> firm located in downtown Bogotá, known for its expertise in the tech sector. This decision marked a turning point in their operational strategy. The engagement was not limited to basic data entry but involved a comprehensive overhaul of their financial architecture.</w:t>
      </w:r>
    </w:p>
    <w:bookmarkStart w:id="22" w:name="regulatory-compliance-and-dian-alignment"/>
    <w:p>
      <w:pPr>
        <w:pStyle w:val="Heading3"/>
      </w:pPr>
      <w:r>
        <w:t xml:space="preserve">3.1 Regulatory Compliance and DIAN Alignment</w:t>
      </w:r>
    </w:p>
    <w:p>
      <w:pPr>
        <w:pStyle w:val="FirstParagraph"/>
      </w:pPr>
      <w:r>
        <w:t xml:space="preserve">The primary role of the</w:t>
      </w:r>
      <w:r>
        <w:t xml:space="preserve"> </w:t>
      </w:r>
      <w:r>
        <w:t xml:space="preserve">Accountant</w:t>
      </w:r>
      <w:r>
        <w:t xml:space="preserve"> was to ensure strict adherence to Colombian tax law. In</w:t>
      </w:r>
      <w:r>
        <w:t xml:space="preserve"> </w:t>
      </w:r>
      <w:r>
        <w:t xml:space="preserve">Colombia Bogotá</w:t>
      </w:r>
      <w:r>
        <w:t xml:space="preserve">, the tax code is frequently updated, with annual reforms affecting corporate income tax rates, withholding taxes (Retención en la Fuente), and digital service levies. The accountant implemented a system that automatically tracked these changes, ensuring that TechNova remained compliant without interrupting daily operations.</w:t>
      </w:r>
    </w:p>
    <w:p>
      <w:pPr>
        <w:pStyle w:val="BodyText"/>
      </w:pPr>
      <w:r>
        <w:t xml:space="preserve">Key actions included:</w:t>
      </w:r>
    </w:p>
    <w:p>
      <w:pPr>
        <w:numPr>
          <w:ilvl w:val="0"/>
          <w:numId w:val="1002"/>
        </w:numPr>
        <w:pStyle w:val="Compact"/>
      </w:pPr>
      <w:r>
        <w:rPr>
          <w:bCs/>
          <w:b/>
        </w:rPr>
        <w:t xml:space="preserve">VAT Management:</w:t>
      </w:r>
      <w:r>
        <w:t xml:space="preserve"> Correctly identifying which services were subject to IVA (19%) and which were exempt, a distinction crucial for SaaS models.</w:t>
      </w:r>
    </w:p>
    <w:p>
      <w:pPr>
        <w:numPr>
          <w:ilvl w:val="0"/>
          <w:numId w:val="1002"/>
        </w:numPr>
        <w:pStyle w:val="Compact"/>
      </w:pPr>
      <w:r>
        <w:rPr>
          <w:bCs/>
          <w:b/>
        </w:rPr>
        <w:t xml:space="preserve">Invoicing Protocols:</w:t>
      </w:r>
      <w:r>
        <w:t xml:space="preserve"> Transitioning to electronic invoicing systems mandated by the DIAN, ensuring all digital documents contained the required fiscal elements.</w:t>
      </w:r>
    </w:p>
    <w:bookmarkEnd w:id="22"/>
    <w:bookmarkStart w:id="23" w:name="strategic-financial-planning"/>
    <w:p>
      <w:pPr>
        <w:pStyle w:val="Heading3"/>
      </w:pPr>
      <w:r>
        <w:t xml:space="preserve">3.2 Strategic Financial Planning</w:t>
      </w:r>
    </w:p>
    <w:p>
      <w:pPr>
        <w:pStyle w:val="FirstParagraph"/>
      </w:pPr>
      <w:r>
        <w:t xml:space="preserve">Beyond compliance, the</w:t>
      </w:r>
      <w:r>
        <w:t xml:space="preserve"> </w:t>
      </w:r>
      <w:r>
        <w:t xml:space="preserve">Accountant</w:t>
      </w:r>
      <w:r>
        <w:t xml:space="preserve"> began providing strategic advice tailored to the economic reality of</w:t>
      </w:r>
      <w:r>
        <w:t xml:space="preserve"> </w:t>
      </w:r>
      <w:r>
        <w:t xml:space="preserve">Colombia Bogotá</w:t>
      </w:r>
      <w:r>
        <w:t xml:space="preserve">. They analyzed cash flow projections considering seasonal trends in the local market and currency exchange risks. For instance, when planning international expansion within Andean Community countries, the accountant advised on transfer pricing regulations specific to Colombia.</w:t>
      </w:r>
    </w:p>
    <w:p>
      <w:pPr>
        <w:pStyle w:val="BodyText"/>
      </w:pPr>
      <w:r>
        <w:t xml:space="preserve">This strategic layer transformed the</w:t>
      </w:r>
      <w:r>
        <w:t xml:space="preserve"> </w:t>
      </w:r>
      <w:r>
        <w:rPr>
          <w:bCs/>
          <w:b/>
        </w:rPr>
        <w:t xml:space="preserve">Case Study</w:t>
      </w:r>
      <w:r>
        <w:t xml:space="preserve"> from a simple problem-solving exercise into a blueprint for sustainable growth. The financial team helped TechNova apply for various government incentives available to technology companies in Bogotá, such as tax breaks under Law 1819 and specific deductions for research and development expenses.</w:t>
      </w:r>
    </w:p>
    <w:bookmarkEnd w:id="23"/>
    <w:bookmarkEnd w:id="24"/>
    <w:bookmarkStart w:id="25" w:name="challenges-specific-to-colombia-bogotá"/>
    <w:p>
      <w:pPr>
        <w:pStyle w:val="Heading2"/>
      </w:pPr>
      <w:r>
        <w:t xml:space="preserve">4. Challenges Specific to Colombia Bogotá</w:t>
      </w:r>
    </w:p>
    <w:p>
      <w:pPr>
        <w:pStyle w:val="FirstParagraph"/>
      </w:pPr>
      <w:r>
        <w:t xml:space="preserve">The implementation of these financial controls was not without challenges. The cultural context of</w:t>
      </w:r>
      <w:r>
        <w:t xml:space="preserve"> </w:t>
      </w:r>
      <w:r>
        <w:t xml:space="preserve">Colombia Bogotá</w:t>
      </w:r>
      <w:r>
        <w:t xml:space="preserve"> played a significant role. Local suppliers often preferred cash transactions or informal payments, creating pressure on the company to deviate from formal accounting practices.</w:t>
      </w:r>
    </w:p>
    <w:p>
      <w:pPr>
        <w:pStyle w:val="BodyText"/>
      </w:pPr>
      <w:r>
        <w:t xml:space="preserve">The</w:t>
      </w:r>
    </w:p>
    <w:p>
      <w:pPr>
        <w:pStyle w:val="BodyText"/>
      </w:pPr>
      <w:r>
        <w:t xml:space="preserve">Accountant served as the ethical compass in these situations. By educating the management team on the long-term risks of non-compliance—including bans on public contracts and severe fines—the accountant reinforced a culture of transparency. Furthermore, adapting to the high pace of life in Bogotá meant that financial reporting had to be agile and accessible via mobile platforms, allowing executives to make real-time decisions amidst their busy schedules.</w:t>
      </w:r>
    </w:p>
    <w:bookmarkEnd w:id="25"/>
    <w:bookmarkStart w:id="26" w:name="results-and-outcomes"/>
    <w:p>
      <w:pPr>
        <w:pStyle w:val="Heading2"/>
      </w:pPr>
      <w:r>
        <w:t xml:space="preserve">5. Results and Outcomes</w:t>
      </w:r>
    </w:p>
    <w:p>
      <w:pPr>
        <w:pStyle w:val="FirstParagraph"/>
      </w:pPr>
      <w:r>
        <w:t xml:space="preserve">After twelve months of integrating professional accounting services, TechNova Solutions reported significant improvements:</w:t>
      </w:r>
    </w:p>
    <w:p>
      <w:pPr>
        <w:numPr>
          <w:ilvl w:val="0"/>
          <w:numId w:val="1003"/>
        </w:numPr>
        <w:pStyle w:val="Compact"/>
      </w:pPr>
      <w:r>
        <w:rPr>
          <w:bCs/>
          <w:b/>
        </w:rPr>
        <w:t xml:space="preserve">Tax Savings:</w:t>
      </w:r>
      <w:r>
        <w:t xml:space="preserve"> Through proper deduction management and incentive utilization, the company reduced its effective tax burden by 15%.</w:t>
      </w:r>
    </w:p>
    <w:p>
      <w:pPr>
        <w:numPr>
          <w:ilvl w:val="0"/>
          <w:numId w:val="1003"/>
        </w:numPr>
        <w:pStyle w:val="Compact"/>
      </w:pPr>
      <w:r>
        <w:rPr>
          <w:bCs/>
          <w:b/>
        </w:rPr>
        <w:t xml:space="preserve">Audit Resolution:</w:t>
      </w:r>
      <w:r>
        <w:t xml:space="preserve"> The previous DIAN audit was resolved favorably with no fines, thanks to accurate retroactive documentation provided by the accountant.</w:t>
      </w:r>
    </w:p>
    <w:p>
      <w:pPr>
        <w:numPr>
          <w:ilvl w:val="0"/>
          <w:numId w:val="1003"/>
        </w:numPr>
        <w:pStyle w:val="Compact"/>
      </w:pPr>
      <w:r>
        <w:rPr>
          <w:bCs/>
          <w:b/>
        </w:rPr>
        <w:t xml:space="preserve">Investor Confidence:</w:t>
      </w:r>
      <w:r>
        <w:t xml:space="preserve"> &gt;Clean and professional financial statements facilitated a Series A funding round from a regional venture capital firm. Investors cited "strong governance" as a key factor, directly attributed to the rigorous accounting practices established in Bogotá.</w:t>
      </w:r>
    </w:p>
    <w:p>
      <w:pPr>
        <w:pStyle w:val="FirstParagraph"/>
      </w:pPr>
      <w:r>
        <w:t xml:space="preserve">The transition highlighted that an</w:t>
      </w:r>
      <w:r>
        <w:t xml:space="preserve"> </w:t>
      </w:r>
      <w:r>
        <w:t xml:space="preserve">Accountant</w:t>
      </w:r>
      <w:r>
        <w:t xml:space="preserve"> is not just a cost center but a value driver. In the competitive environment of</w:t>
      </w:r>
      <w:r>
        <w:t xml:space="preserve"> </w:t>
      </w:r>
      <w:r>
        <w:t xml:space="preserve">Colombia Bogotá</w:t>
      </w:r>
      <w:r>
        <w:t xml:space="preserve">, having accurate, real-time financial data allowed TechNova to pivot quickly when market conditions shifted.</w:t>
      </w:r>
    </w:p>
    <w:bookmarkEnd w:id="26"/>
    <w:bookmarkStart w:id="27" w:name="lessons-learned-and-recommendations"/>
    <w:p>
      <w:pPr>
        <w:pStyle w:val="Heading2"/>
      </w:pPr>
      <w:r>
        <w:t xml:space="preserve">6. Lessons Learned and Recommendations</w:t>
      </w:r>
    </w:p>
    <w:p>
      <w:pPr>
        <w:pStyle w:val="FirstParagraph"/>
      </w:pPr>
      <w:r>
        <w:t xml:space="preserve">This</w:t>
      </w:r>
      <w:r>
        <w:t xml:space="preserve"> </w:t>
      </w:r>
      <w:r>
        <w:rPr>
          <w:bCs/>
          <w:b/>
        </w:rPr>
        <w:t xml:space="preserve">Case Study</w:t>
      </w:r>
      <w:r>
        <w:t xml:space="preserve"> demonstrates several critical lessons for businesses operating in</w:t>
      </w:r>
      <w:r>
        <w:t xml:space="preserve"> </w:t>
      </w:r>
      <w:r>
        <w:t xml:space="preserve">Colombia Bogotá</w:t>
      </w:r>
      <w:r>
        <w:t xml:space="preserve">:</w:t>
      </w:r>
    </w:p>
    <w:p>
      <w:pPr>
        <w:numPr>
          <w:ilvl w:val="0"/>
          <w:numId w:val="1004"/>
        </w:numPr>
        <w:pStyle w:val="Compact"/>
      </w:pPr>
      <w:r>
        <w:rPr>
          <w:bCs/>
          <w:b/>
        </w:rPr>
        <w:t xml:space="preserve">Hire Local Expertise:</w:t>
      </w:r>
      <w:r>
        <w:t xml:space="preserve"> International accounting standards are insufficient alone. Businesses must engage accountants who understand the nuances of Colombian law and the specific economic dynamics of Bogotá.</w:t>
      </w:r>
    </w:p>
    <w:p>
      <w:pPr>
        <w:numPr>
          <w:ilvl w:val="0"/>
          <w:numId w:val="1004"/>
        </w:numPr>
        <w:pStyle w:val="Compact"/>
      </w:pPr>
      <w:r>
        <w:rPr>
          <w:bCs/>
          <w:b/>
        </w:rPr>
        <w:t xml:space="preserve">Digital Integration:</w:t>
      </w:r>
      <w:r>
        <w:t xml:space="preserve"> The modern accountant in Colombia utilizes advanced ERP systems integrated with DIAN’s electronic billing platforms. Early adoption of such tools prevents future compliance crises.</w:t>
      </w:r>
    </w:p>
    <w:p>
      <w:pPr>
        <w:numPr>
          <w:ilvl w:val="0"/>
          <w:numId w:val="1004"/>
        </w:numPr>
        <w:pStyle w:val="Compact"/>
      </w:pPr>
      <w:r>
        <w:rPr>
          <w:bCs/>
          <w:b/>
        </w:rPr>
        <w:t xml:space="preserve">Proactive vs. Reactive:</w:t>
      </w:r>
      <w:r>
        <w:t xml:space="preserve"> Waiting until tax season to engage an accountant is too late. Continuous monitoring by an</w:t>
      </w:r>
      <w:r>
        <w:t xml:space="preserve"> </w:t>
      </w:r>
      <w:r>
        <w:t xml:space="preserve">Accountant</w:t>
      </w:r>
      <w:r>
        <w:t xml:space="preserve"> ensures that financial health is maintained throughout the year.</w:t>
      </w:r>
    </w:p>
    <w:bookmarkEnd w:id="27"/>
    <w:bookmarkStart w:id="28" w:name="conclusion"/>
    <w:p>
      <w:pPr>
        <w:pStyle w:val="Heading2"/>
      </w:pPr>
      <w:r>
        <w:t xml:space="preserve">7. Conclusion</w:t>
      </w:r>
    </w:p>
    <w:p>
      <w:pPr>
        <w:pStyle w:val="FirstParagraph"/>
      </w:pPr>
      <w:r>
        <w:t xml:space="preserve">The role of the</w:t>
      </w:r>
      <w:r>
        <w:t xml:space="preserve"> </w:t>
      </w:r>
      <w:r>
        <w:t xml:space="preserve">Accountant</w:t>
      </w:r>
      <w:r>
        <w:t xml:space="preserve"> in</w:t>
      </w:r>
      <w:r>
        <w:t xml:space="preserve"> </w:t>
      </w:r>
      <w:r>
        <w:t xml:space="preserve">Colombia Bogotá</w:t>
      </w:r>
      <w:r>
        <w:t xml:space="preserve"> has evolved dramatically. No longer confined to ledgers and tax forms, they are now strategic advisors who navigate the intersection of law, technology, and business strategy. For startups and established enterprises alike, leveraging professional accounting services is not merely a regulatory necessity but a competitive advantage.</w:t>
      </w:r>
    </w:p>
    <w:p>
      <w:pPr>
        <w:pStyle w:val="BodyText"/>
      </w:pPr>
      <w:r>
        <w:t xml:space="preserve">This case study illustrates that in the vibrant market of</w:t>
      </w:r>
      <w:r>
        <w:t xml:space="preserve"> </w:t>
      </w:r>
      <w:r>
        <w:t xml:space="preserve">Colombia Bogotá</w:t>
      </w:r>
      <w:r>
        <w:t xml:space="preserve">, success depends on more than just a great product; it requires robust financial stewardship. By partnering with skilled accountants who understand local complexities, companies can mitigate risks, optimize resources, and position themselves for long-term sustainability in one of Latin America’s most promising economies.</w:t>
      </w:r>
    </w:p>
    <w:p>
      <w:pPr>
        <w:pStyle w:val="BodyText"/>
      </w:pPr>
      <w:r>
        <w:rPr>
          <w:iCs/>
          <w:i/>
        </w:rPr>
        <w:t xml:space="preserve">For any business looking to establish or expand operations in Colombia Bogotá, recognizing the pivotal role of accounting professionals is the first step toward secure and profitable growth.</w:t>
      </w:r>
    </w:p>
    <w:p>
      <w:pPr>
        <w:pStyle w:val="BodyText"/>
      </w:pPr>
      <w:r>
        <w:t xml:space="preserve">© 2023 Business Insights Group. All Rights Reserved. This case study is for informational purposes only and does not constitute legal or financial advice.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for an SME in Colombia Bogotá</dc:title>
  <dc:creator/>
  <dc:language>en</dc:language>
  <cp:keywords/>
  <dcterms:created xsi:type="dcterms:W3CDTF">2026-07-29T08:52:39Z</dcterms:created>
  <dcterms:modified xsi:type="dcterms:W3CDTF">2026-07-29T08:52:39Z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