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Management</w:t>
      </w:r>
      <w:r>
        <w:t xml:space="preserve"> </w:t>
      </w:r>
      <w:r>
        <w:t xml:space="preserve">by</w:t>
      </w:r>
      <w:r>
        <w:t xml:space="preserve"> </w:t>
      </w:r>
      <w:r>
        <w:t xml:space="preserve">an</w:t>
      </w:r>
      <w:r>
        <w:t xml:space="preserve"> </w:t>
      </w:r>
      <w:r>
        <w:t xml:space="preserve">Accountant</w:t>
      </w:r>
      <w:r>
        <w:t xml:space="preserve"> </w:t>
      </w:r>
      <w:r>
        <w:t xml:space="preserve">in</w:t>
      </w:r>
      <w:r>
        <w:t xml:space="preserve"> </w:t>
      </w:r>
      <w:r>
        <w:t xml:space="preserve">Germany</w:t>
      </w:r>
      <w:r>
        <w:t xml:space="preserve"> </w:t>
      </w:r>
      <w:r>
        <w:t xml:space="preserve">Munich</w:t>
      </w:r>
    </w:p>
    <w:bookmarkStart w:id="30" w:name="Xc318b1818c6e828ee206ae3b40836fd08e49d32"/>
    <w:p>
      <w:pPr>
        <w:pStyle w:val="Heading1"/>
      </w:pPr>
      <w:r>
        <w:t xml:space="preserve">Case Study: The Role and Impact of an Accountant in Germany Munich</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This Case Study examines the critical function, regulatory complexity, and strategic value provided by a professional accountant operating within the unique economic landscape of Germany Munich. It explores how local expertise in tax law, compliance standards, and financial reporting translates into tangible business success for both domestic enterprises and international subsidiaries.</w:t>
      </w:r>
    </w:p>
    <w:bookmarkStart w:id="20" w:name="X07bd1fbb90580f46baf1e8a9600c88573251f8c"/>
    <w:p>
      <w:pPr>
        <w:pStyle w:val="Heading2"/>
      </w:pPr>
      <w:r>
        <w:t xml:space="preserve">1. Introduction: The Context of Germany Munich</w:t>
      </w:r>
    </w:p>
    <w:p>
      <w:pPr>
        <w:pStyle w:val="FirstParagraph"/>
      </w:pPr>
      <w:r>
        <w:t xml:space="preserve">Munich (München), the capital of Bavaria in southern Germany, stands as one of Europe’s most dynamic economic hubs. As the headquarters for global giants such as Siemens, BMW, and Allianz, alongside a thriving ecosystem of Mittelstand (small-to-medium enterprises) and innovative startups in technology and biotechnology, Munich presents a complex financial environment. For businesses operating here, the role of an</w:t>
      </w:r>
      <w:r>
        <w:t xml:space="preserve"> </w:t>
      </w:r>
      <w:r>
        <w:rPr>
          <w:bCs/>
          <w:b/>
        </w:rPr>
        <w:t xml:space="preserve">Accountant</w:t>
      </w:r>
      <w:r>
        <w:t xml:space="preserve"> </w:t>
      </w:r>
      <w:r>
        <w:t xml:space="preserve">extends far beyond basic bookkeeping. It requires a deep understanding of the stringent German legal framework, local Bavarian tax nuances, and international reporting standards like IFRS.</w:t>
      </w:r>
    </w:p>
    <w:p>
      <w:pPr>
        <w:pStyle w:val="BodyText"/>
      </w:pPr>
      <w:r>
        <w:t xml:space="preserve">This Case Study aims to illustrate how a specialized accountant navigates these challenges in Germany Munich to ensure compliance, optimize tax efficiency, and support strategic decision-making. The focus is on demonstrating why localized accounting expertise is indispensable in this specific German region.</w:t>
      </w:r>
    </w:p>
    <w:bookmarkEnd w:id="20"/>
    <w:bookmarkStart w:id="21" w:name="company-profile-and-challenge"/>
    <w:p>
      <w:pPr>
        <w:pStyle w:val="Heading2"/>
      </w:pPr>
      <w:r>
        <w:t xml:space="preserve">2. Company Profile and Challenge</w:t>
      </w:r>
    </w:p>
    <w:p>
      <w:pPr>
        <w:pStyle w:val="FirstParagraph"/>
      </w:pPr>
      <w:r>
        <w:rPr>
          <w:bCs/>
          <w:b/>
        </w:rPr>
        <w:t xml:space="preserve">The Client:</w:t>
      </w:r>
    </w:p>
    <w:p>
      <w:pPr>
        <w:pStyle w:val="BodyText"/>
      </w:pPr>
      <w:r>
        <w:t xml:space="preserve">A mid-sized American software technology firm, "TechNova US Inc.", established a subsidiary in Germany Munich to serve the DACH region (Germany, Austria, Switzerland). The company had been operating for three years with remote bookkeeping services based outside of Europe.</w:t>
      </w:r>
    </w:p>
    <w:p>
      <w:pPr>
        <w:pStyle w:val="BodyText"/>
      </w:pPr>
      <w:r>
        <w:rPr>
          <w:bCs/>
          <w:b/>
        </w:rPr>
        <w:t xml:space="preserve">The Challenge:</w:t>
      </w:r>
    </w:p>
    <w:p>
      <w:pPr>
        <w:numPr>
          <w:ilvl w:val="0"/>
          <w:numId w:val="1001"/>
        </w:numPr>
        <w:pStyle w:val="Compact"/>
      </w:pPr>
      <w:r>
        <w:rPr>
          <w:bCs/>
          <w:b/>
        </w:rPr>
        <w:t xml:space="preserve">Tax Compliance Risks:</w:t>
      </w:r>
    </w:p>
    <w:p>
      <w:pPr>
        <w:numPr>
          <w:ilvl w:val="0"/>
          <w:numId w:val="1001"/>
        </w:numPr>
        <w:pStyle w:val="Compact"/>
      </w:pPr>
      <w:r>
        <w:rPr>
          <w:bCs/>
          <w:b/>
        </w:rPr>
        <w:t xml:space="preserve">VAT Registration Errors:</w:t>
      </w:r>
    </w:p>
    <w:p>
      <w:pPr>
        <w:numPr>
          <w:ilvl w:val="0"/>
          <w:numId w:val="1001"/>
        </w:numPr>
        <w:pStyle w:val="Compact"/>
      </w:pPr>
      <w:r>
        <w:rPr>
          <w:bCs/>
          <w:b/>
        </w:rPr>
        <w:t xml:space="preserve">Lack of Strategic Insight:</w:t>
      </w:r>
    </w:p>
    <w:p>
      <w:pPr>
        <w:numPr>
          <w:ilvl w:val="0"/>
          <w:numId w:val="1001"/>
        </w:numPr>
        <w:pStyle w:val="Compact"/>
      </w:pPr>
      <w:r>
        <w:rPr>
          <w:bCs/>
          <w:b/>
        </w:rPr>
        <w:t xml:space="preserve">Cultural and Linguistic Barriers:</w:t>
      </w:r>
    </w:p>
    <w:bookmarkEnd w:id="21"/>
    <w:bookmarkStart w:id="26" w:name="X3f32bd900d4130b7eb0d5f2aa2328ea5e70f273"/>
    <w:p>
      <w:pPr>
        <w:pStyle w:val="Heading2"/>
      </w:pPr>
      <w:r>
        <w:t xml:space="preserve">3. The Intervention: Engaging a Local Accountant in Germany Munich</w:t>
      </w:r>
    </w:p>
    <w:p>
      <w:pPr>
        <w:pStyle w:val="FirstParagraph"/>
      </w:pPr>
      <w:r>
        <w:t xml:space="preserve">To resolve these critical issues, TechNova US Inc. engaged a local accounting firm based in Germany Munich specializing in international cross-border taxation and corporate compliance.</w:t>
      </w:r>
    </w:p>
    <w:bookmarkStart w:id="22" w:name="Xd5a32eec051d53c7ca579670add635f64f7faa9"/>
    <w:p>
      <w:pPr>
        <w:pStyle w:val="Heading3"/>
      </w:pPr>
      <w:r>
        <w:t xml:space="preserve">Step 1: Immediate Remediation and Audit Defense</w:t>
      </w:r>
    </w:p>
    <w:p>
      <w:pPr>
        <w:pStyle w:val="FirstParagraph"/>
      </w:pPr>
      <w:r>
        <w:t xml:space="preserve">The first priority was stabilizing the company’s financial standing. The appointed accountant immediately reviewed all past transactions, identified errors in VAT calculations, and prepared corrected filings. They represented the client in negotiations with the Munich Finanzamt, demonstrating professionalism and adherence to German procedural norms. This step not only reduced potential fines through voluntary disclosure but also restored trust with tax authorities.</w:t>
      </w:r>
    </w:p>
    <w:bookmarkEnd w:id="22"/>
    <w:bookmarkStart w:id="23" w:name="X2301a40bb561f252e4f858f2345acfc9fdd55a4"/>
    <w:p>
      <w:pPr>
        <w:pStyle w:val="Heading3"/>
      </w:pPr>
      <w:r>
        <w:t xml:space="preserve">Step 2: Implementation of Robust Internal Controls</w:t>
      </w:r>
    </w:p>
    <w:p>
      <w:pPr>
        <w:pStyle w:val="FirstParagraph"/>
      </w:pPr>
      <w:r>
        <w:t xml:space="preserve">The accountant implemented a new cloud-based accounting system compliant with German GoBD (Grundsätze zur ordnungsmäßigen Führung und Aufbewahrung von Büchern, Aufzeichnungen und Unterlagen in elektronischer Form sowie zum Datenzugriff) standards. This ensured that all electronic records were secure, auditable, and stored in the manner required by German law.</w:t>
      </w:r>
    </w:p>
    <w:bookmarkEnd w:id="23"/>
    <w:bookmarkStart w:id="24" w:name="step-3-strategic-tax-optimization"/>
    <w:p>
      <w:pPr>
        <w:pStyle w:val="Heading3"/>
      </w:pPr>
      <w:r>
        <w:t xml:space="preserve">Step 3: Strategic Tax Optimization</w:t>
      </w:r>
    </w:p>
    <w:p>
      <w:pPr>
        <w:pStyle w:val="FirstParagraph"/>
      </w:pPr>
      <w:r>
        <w:t xml:space="preserve">Leveraging deep knowledge of Bavarian incentives, the accountant identified qualifying R&amp;D expenditures. They structured these expenses to maximize claims under German corporate tax law and local state grants available in Munich. Furthermore, they advised on transfer pricing policies between the US parent company and the Munich subsidiary to ensure compliance with OECD guidelines and German domestic law.</w:t>
      </w:r>
    </w:p>
    <w:bookmarkEnd w:id="24"/>
    <w:bookmarkStart w:id="25" w:name="step-4-ongoing-compliance-and-advisory"/>
    <w:p>
      <w:pPr>
        <w:pStyle w:val="Heading3"/>
      </w:pPr>
      <w:r>
        <w:t xml:space="preserve">Step 4: Ongoing Compliance and Advisory</w:t>
      </w:r>
    </w:p>
    <w:p>
      <w:pPr>
        <w:pStyle w:val="FirstParagraph"/>
      </w:pPr>
      <w:r>
        <w:t xml:space="preserve">The accountant took over monthly bookkeeping, quarterly VAT returns (Umsatzsteuervoranmeldung), and annual financial statements (Jahresabschluss). They provided regular reports to the US headquarters in English, bridging the linguistic gap while ensuring that all German statutory requirements were met with precision.</w:t>
      </w:r>
    </w:p>
    <w:bookmarkEnd w:id="25"/>
    <w:bookmarkEnd w:id="26"/>
    <w:bookmarkStart w:id="27" w:name="outcomes-and-results"/>
    <w:p>
      <w:pPr>
        <w:pStyle w:val="Heading2"/>
      </w:pPr>
      <w:r>
        <w:t xml:space="preserve">4. Outcomes and Results</w:t>
      </w:r>
    </w:p>
    <w:p>
      <w:pPr>
        <w:pStyle w:val="FirstParagraph"/>
      </w:pPr>
      <w:r>
        <w:t xml:space="preserve">The intervention yielded significant improvements for TechNova US Inc. within twelve months:</w:t>
      </w:r>
    </w:p>
    <w:p>
      <w:pPr>
        <w:numPr>
          <w:ilvl w:val="0"/>
          <w:numId w:val="1002"/>
        </w:numPr>
        <w:pStyle w:val="Compact"/>
      </w:pPr>
      <w:r>
        <w:rPr>
          <w:bCs/>
          <w:b/>
        </w:rPr>
        <w:t xml:space="preserve">Total Compliance:</w:t>
      </w:r>
    </w:p>
    <w:p>
      <w:pPr>
        <w:numPr>
          <w:ilvl w:val="0"/>
          <w:numId w:val="1002"/>
        </w:numPr>
        <w:pStyle w:val="Compact"/>
      </w:pPr>
      <w:r>
        <w:rPr>
          <w:bCs/>
          <w:b/>
        </w:rPr>
        <w:t xml:space="preserve">Tax Savings:</w:t>
      </w:r>
    </w:p>
    <w:p>
      <w:pPr>
        <w:numPr>
          <w:ilvl w:val="0"/>
          <w:numId w:val="1002"/>
        </w:numPr>
        <w:pStyle w:val="Compact"/>
      </w:pPr>
      <w:r>
        <w:rPr>
          <w:bCs/>
          <w:b/>
        </w:rPr>
        <w:t xml:space="preserve">Operational Efficiency:</w:t>
      </w:r>
    </w:p>
    <w:p>
      <w:pPr>
        <w:numPr>
          <w:ilvl w:val="0"/>
          <w:numId w:val="1002"/>
        </w:numPr>
        <w:pStyle w:val="Compact"/>
      </w:pPr>
      <w:r>
        <w:rPr>
          <w:bCs/>
          <w:b/>
        </w:rPr>
        <w:t xml:space="preserve">Enhanced Credibility:</w:t>
      </w:r>
    </w:p>
    <w:bookmarkEnd w:id="27"/>
    <w:bookmarkStart w:id="28" w:name="key-lessons-learned"/>
    <w:p>
      <w:pPr>
        <w:pStyle w:val="Heading2"/>
      </w:pPr>
      <w:r>
        <w:t xml:space="preserve">5. Key Lessons Learned</w:t>
      </w:r>
    </w:p>
    <w:p>
      <w:pPr>
        <w:pStyle w:val="FirstParagraph"/>
      </w:pPr>
      <w:r>
        <w:t xml:space="preserve">This Case Study highlights several crucial lessons for any business operating in Germany Munich:</w:t>
      </w:r>
    </w:p>
    <w:p>
      <w:pPr>
        <w:pStyle w:val="BodyText"/>
      </w:pPr>
      <w:r>
        <w:rPr>
          <w:iCs/>
          <w:i/>
          <w:bCs/>
          <w:b/>
        </w:rPr>
        <w:t xml:space="preserve">Laboratory Note on Local Expertise:</w:t>
      </w:r>
      <w:r>
        <w:t xml:space="preserve"> </w:t>
      </w:r>
      <w:r>
        <w:t xml:space="preserve">General international accounting standards are insufficient for navigating the specific regulatory environment of Germany Munich. The intricacies of German tax law, including regional variations and strict documentation requirements (GoBD), demand local expertise.</w:t>
      </w:r>
    </w:p>
    <w:p>
      <w:pPr>
        <w:pStyle w:val="BodyText"/>
      </w:pPr>
      <w:r>
        <w:rPr>
          <w:bCs/>
          <w:b/>
        </w:rPr>
        <w:t xml:space="preserve">The Importance of Language and Culture:</w:t>
      </w:r>
    </w:p>
    <w:p>
      <w:pPr>
        <w:pStyle w:val="BodyText"/>
      </w:pPr>
      <w:r>
        <w:t xml:space="preserve">In Germany, particularly in Bavaria, business relationships are built on trust and precision. An accountant who understands both the language and the cultural nuances of dealing with authorities like the Finanzamt is invaluable.</w:t>
      </w:r>
    </w:p>
    <w:p>
      <w:pPr>
        <w:pStyle w:val="BodyText"/>
      </w:pPr>
      <w:r>
        <w:rPr>
          <w:bCs/>
          <w:b/>
        </w:rPr>
        <w:t xml:space="preserve">Proactive vs. Reactive Management:</w:t>
      </w:r>
    </w:p>
    <w:p>
      <w:pPr>
        <w:pStyle w:val="BodyText"/>
      </w:pPr>
      <w:r>
        <w:t xml:space="preserve">Waiting until issues arise (such as audits) to seek help is costly in Germany Munich. Proactive engagement with an accountant ensures continuous compliance and allows for strategic financial planning rather than crisis management.</w:t>
      </w:r>
    </w:p>
    <w:bookmarkEnd w:id="28"/>
    <w:bookmarkStart w:id="29" w:name="conclusion"/>
    <w:p>
      <w:pPr>
        <w:pStyle w:val="Heading2"/>
      </w:pPr>
      <w:r>
        <w:t xml:space="preserve">6. Conclusion</w:t>
      </w:r>
    </w:p>
    <w:p>
      <w:pPr>
        <w:pStyle w:val="FirstParagraph"/>
      </w:pPr>
      <w:r>
        <w:t xml:space="preserve">In conclusion, the role of an Accountant in Germany Munich is pivotal for any business seeking sustainable growth and legal security in this major economic center. As demonstrated by the TechNova US Inc. case, local accounting expertise transforms financial compliance from a burdensome obligation into a strategic advantage.</w:t>
      </w:r>
    </w:p>
    <w:p>
      <w:pPr>
        <w:pStyle w:val="BodyText"/>
      </w:pPr>
      <w:r>
        <w:t xml:space="preserve">The complexities of German tax law, VAT regulations, and reporting standards require more than just technical knowledge; they demand an understanding of the local business environment in Germany Munich. Companies that invest in high-quality, localized accounting services mitigate risk, optimize tax positions, and gain the confidence needed to thrive in one of Europe’s most competitive markets.</w:t>
      </w:r>
    </w:p>
    <w:p>
      <w:pPr>
        <w:pStyle w:val="BodyText"/>
      </w:pPr>
      <w:r>
        <w:t xml:space="preserve">For future entrants to the Munich market, this Case Study serves as a clear directive: do not underestimate the importance of partnering with an Accountant who is deeply embedded in the German financial ecosystem. The cost of such expertise is negligible compared to the risks associated with non-compliance and missed opportunities.</w:t>
      </w:r>
    </w:p>
    <w:p>
      <w:pPr>
        <w:pStyle w:val="BodyText"/>
      </w:pPr>
      <w:r>
        <w:rPr>
          <w:bCs/>
          <w:b/>
        </w:rPr>
        <w:t xml:space="preserve">Disclaimer:</w:t>
      </w:r>
    </w:p>
    <w:p>
      <w:pPr>
        <w:pStyle w:val="BodyText"/>
      </w:pPr>
      <w:r>
        <w:t xml:space="preserve">This Case Study is for informational purposes only and does not constitute professional legal or tax advice. Readers should consult with a qualified accountant in Germany Munich for specific guidance regarding their financial obligations. The scenarios described are representative of common challenges faced by international businesses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Management by an Accountant in Germany Munich</dc:title>
  <dc:creator/>
  <dc:language>en</dc:language>
  <cp:keywords/>
  <dcterms:created xsi:type="dcterms:W3CDTF">2026-07-29T05:43:32Z</dcterms:created>
  <dcterms:modified xsi:type="dcterms:W3CDTF">2026-07-29T05:43:32Z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