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Management</w:t>
      </w:r>
      <w:r>
        <w:t xml:space="preserve"> </w:t>
      </w:r>
      <w:r>
        <w:t xml:space="preserve">by</w:t>
      </w:r>
      <w:r>
        <w:t xml:space="preserve"> </w:t>
      </w:r>
      <w:r>
        <w:t xml:space="preserve">Accountants</w:t>
      </w:r>
      <w:r>
        <w:t xml:space="preserve"> </w:t>
      </w:r>
      <w:r>
        <w:t xml:space="preserve">in</w:t>
      </w:r>
      <w:r>
        <w:t xml:space="preserve"> </w:t>
      </w:r>
      <w:r>
        <w:t xml:space="preserve">Indonesia</w:t>
      </w:r>
      <w:r>
        <w:t xml:space="preserve"> </w:t>
      </w:r>
      <w:r>
        <w:t xml:space="preserve">Jakarta</w:t>
      </w:r>
    </w:p>
    <w:bookmarkStart w:id="32" w:name="Xf90210b6d3ef5ceff886547cd6df4a9b7584c19"/>
    <w:p>
      <w:pPr>
        <w:pStyle w:val="Heading1"/>
      </w:pPr>
      <w:r>
        <w:t xml:space="preserve">Case Study: The Role and Impact of Professional Accountants in Indonesia Jakarta</w:t>
      </w:r>
    </w:p>
    <w:bookmarkStart w:id="20" w:name="executive-summary"/>
    <w:p>
      <w:pPr>
        <w:pStyle w:val="Heading2"/>
      </w:pPr>
      <w:r>
        <w:t xml:space="preserve">Executive Summary</w:t>
      </w:r>
    </w:p>
    <w:p>
      <w:pPr>
        <w:pStyle w:val="FirstParagraph"/>
      </w:pPr>
      <w:r>
        <w:t xml:space="preserve">The economic landscape of</w:t>
      </w:r>
      <w:r>
        <w:t xml:space="preserve"> </w:t>
      </w:r>
      <w:r>
        <w:rPr>
          <w:bCs/>
          <w:b/>
        </w:rPr>
        <w:t xml:space="preserve">Indonesia Jakarta</w:t>
      </w:r>
      <w:r>
        <w:t xml:space="preserve">, as the capital city and the primary hub for commerce, finance, and investment in Southeast Asia, presents a unique set of challenges and opportunities for businesses. Within this dynamic environment, the profession of the</w:t>
      </w:r>
      <w:r>
        <w:t xml:space="preserve"> </w:t>
      </w:r>
      <w:r>
        <w:rPr>
          <w:bCs/>
          <w:b/>
        </w:rPr>
        <w:t xml:space="preserve">Accountant</w:t>
      </w:r>
      <w:r>
        <w:t xml:space="preserve"> </w:t>
      </w:r>
      <w:r>
        <w:t xml:space="preserve">has evolved from a traditional bookkeeping role to that of a strategic business partner. This case study examines how professional</w:t>
      </w:r>
      <w:r>
        <w:t xml:space="preserve"> </w:t>
      </w:r>
      <w:r>
        <w:rPr>
          <w:bCs/>
          <w:b/>
        </w:rPr>
        <w:t xml:space="preserve">Accountant</w:t>
      </w:r>
      <w:r>
        <w:t xml:space="preserve">s operating in</w:t>
      </w:r>
      <w:r>
        <w:t xml:space="preserve"> </w:t>
      </w:r>
      <w:r>
        <w:rPr>
          <w:bCs/>
          <w:b/>
        </w:rPr>
        <w:t xml:space="preserve">Indonesia Jakarta</w:t>
      </w:r>
      <w:r>
        <w:t xml:space="preserve">, particularly within large multinational corporations and growing local enterprises (UMKM), navigate complex regulatory frameworks, technological disruptions, and cultural business practices to drive organizational success.</w:t>
      </w:r>
    </w:p>
    <w:bookmarkEnd w:id="20"/>
    <w:bookmarkStart w:id="21" w:name="X1a59b14328c79ecc1378b5f6fe2b27a075aa1ea"/>
    <w:p>
      <w:pPr>
        <w:pStyle w:val="Heading2"/>
      </w:pPr>
      <w:r>
        <w:t xml:space="preserve">1. Introduction: The Jakarta Economic Context</w:t>
      </w:r>
    </w:p>
    <w:p>
      <w:pPr>
        <w:pStyle w:val="FirstParagraph"/>
      </w:pPr>
      <w:r>
        <w:rPr>
          <w:bCs/>
          <w:b/>
        </w:rPr>
        <w:t xml:space="preserve">Indonesia Jakarta</w:t>
      </w:r>
    </w:p>
    <w:p>
      <w:pPr>
        <w:pStyle w:val="BodyText"/>
      </w:pPr>
      <w:r>
        <w:t xml:space="preserve">In such a volatile market, the accuracy and strategic insight provided by an</w:t>
      </w:r>
      <w:r>
        <w:t xml:space="preserve"> </w:t>
      </w:r>
      <w:r>
        <w:rPr>
          <w:bCs/>
          <w:b/>
        </w:rPr>
        <w:t xml:space="preserve">Accountant</w:t>
      </w:r>
      <w:r>
        <w:t xml:space="preserve"> </w:t>
      </w:r>
      <w:r>
        <w:t xml:space="preserve">are not merely operational necessities but competitive advantages. The case study focuses on "PT Maju Bersama," a fictional mid-sized manufacturing exporter based in South</w:t>
      </w:r>
      <w:r>
        <w:t xml:space="preserve"> </w:t>
      </w:r>
      <w:r>
        <w:rPr>
          <w:bCs/>
          <w:b/>
        </w:rPr>
        <w:t xml:space="preserve">Indonesia Jakarta</w:t>
      </w:r>
      <w:r>
        <w:t xml:space="preserve">, to illustrate these dynamics.</w:t>
      </w:r>
    </w:p>
    <w:bookmarkEnd w:id="21"/>
    <w:bookmarkStart w:id="22" w:name="Xdf3238a0b6001be3bde2ac810d59b1545fac95a"/>
    <w:p>
      <w:pPr>
        <w:pStyle w:val="Heading2"/>
      </w:pPr>
      <w:r>
        <w:t xml:space="preserve">2. Organizational Background: PT Maju Bersama</w:t>
      </w:r>
    </w:p>
    <w:p>
      <w:pPr>
        <w:pStyle w:val="FirstParagraph"/>
      </w:pPr>
      <w:r>
        <w:rPr>
          <w:bCs/>
          <w:b/>
        </w:rPr>
        <w:t xml:space="preserve">Company Profile:</w:t>
      </w:r>
    </w:p>
    <w:p>
      <w:pPr>
        <w:pStyle w:val="BodyText"/>
      </w:pPr>
      <w:r>
        <w:t xml:space="preserve">Industry:</w:t>
      </w:r>
      <w:r>
        <w:t xml:space="preserve">Sustainable Packaging Manufacturing</w:t>
      </w:r>
    </w:p>
    <w:p>
      <w:pPr>
        <w:pStyle w:val="BodyText"/>
      </w:pPr>
      <w:r>
        <w:t xml:space="preserve">Location:</w:t>
      </w:r>
      <w:r>
        <w:t xml:space="preserve">South</w:t>
      </w:r>
    </w:p>
    <w:p>
      <w:pPr>
        <w:pStyle w:val="BodyText"/>
      </w:pPr>
      <w:r>
        <w:t xml:space="preserve">Indonesia Jakarta, Indonesia</w:t>
      </w:r>
    </w:p>
    <w:p>
      <w:pPr>
        <w:pStyle w:val="BodyText"/>
      </w:pPr>
      <w:r>
        <w:t xml:space="preserve">Revenue Scale:</w:t>
      </w:r>
      <w:r>
        <w:t xml:space="preserve"> </w:t>
      </w:r>
    </w:p>
    <w:p>
      <w:pPr>
        <w:pStyle w:val="BodyText"/>
      </w:pPr>
      <w:r>
        <w:t xml:space="preserve">PT Maju Bersama faced significant growth pains. As they expanded their export markets to Europe and Australia, they encountered difficulties in managing multi-currency transactions, complying with international transfer pricing regulations, and leveraging financial data for strategic decision-making. Their previous accounting setup was reactive rather than proactive.</w:t>
      </w:r>
    </w:p>
    <w:bookmarkEnd w:id="22"/>
    <w:bookmarkStart w:id="23" w:name="X9aff38de1cac8b4d7184ef30f67bbd34b224d2e"/>
    <w:p>
      <w:pPr>
        <w:pStyle w:val="Heading2"/>
      </w:pPr>
      <w:r>
        <w:t xml:space="preserve">3. The Challenge: Navigating Complexity in Indonesia Jakarta</w:t>
      </w:r>
    </w:p>
    <w:p>
      <w:pPr>
        <w:pStyle w:val="FirstParagraph"/>
      </w:pPr>
      <w:r>
        <w:t xml:space="preserve">The core challenge for PT Maju Bersama was threefold:</w:t>
      </w:r>
    </w:p>
    <w:p>
      <w:pPr>
        <w:pStyle w:val="BodyText"/>
      </w:pPr>
      <w:r>
        <w:rPr>
          <w:bCs/>
          <w:b/>
        </w:rPr>
        <w:t xml:space="preserve">Regulatory Compliance:</w:t>
      </w:r>
      <w:r>
        <w:t xml:space="preserve">The tax laws in</w:t>
      </w:r>
    </w:p>
    <w:p>
      <w:pPr>
        <w:pStyle w:val="BodyText"/>
      </w:pPr>
      <w:r>
        <w:t xml:space="preserve">Indonesia Jakarta</w:t>
      </w:r>
      <w:r>
        <w:t xml:space="preserve">, specifically regarding Value Added Tax (VAT) and corporate income tax, are complex and frequently amended. Non-compliance could lead to severe penalties.</w:t>
      </w:r>
    </w:p>
    <w:p>
      <w:pPr>
        <w:pStyle w:val="BodyText"/>
      </w:pPr>
      <w:r>
        <w:t xml:space="preserve">Data Integrity: With operations split between headquarters in Jakarta and regional branches, data silos led to discrepancies in financial reporting.</w:t>
      </w:r>
    </w:p>
    <w:p>
      <w:pPr>
        <w:pStyle w:val="BodyText"/>
      </w:pPr>
      <w:r>
        <w:rPr>
          <w:bCs/>
          <w:b/>
        </w:rPr>
        <w:t xml:space="preserve">Strategic Insight Gap:</w:t>
      </w:r>
      <w:r>
        <w:t xml:space="preserve">The management team lacked real-time financial insights needed to optimize pricing strategies and cash flow management.</w:t>
      </w:r>
    </w:p>
    <w:bookmarkEnd w:id="23"/>
    <w:bookmarkStart w:id="27" w:name="Xf84c867ffe8d22ebf3b1a8a4dcf7cff87a0b4b2"/>
    <w:p>
      <w:pPr>
        <w:pStyle w:val="Heading2"/>
      </w:pPr>
      <w:r>
        <w:t xml:space="preserve">4. The Solution: Implementing a Modern Accounting Framework</w:t>
      </w:r>
    </w:p>
    <w:p>
      <w:pPr>
        <w:pStyle w:val="FirstParagraph"/>
      </w:pPr>
      <w:r>
        <w:t xml:space="preserve">To address these challenges, PT Maju Bersama engaged a team of certified</w:t>
      </w:r>
    </w:p>
    <w:p>
      <w:pPr>
        <w:pStyle w:val="BodyText"/>
      </w:pPr>
      <w:r>
        <w:t xml:space="preserve">Accountant</w:t>
      </w:r>
      <w:r>
        <w:t xml:space="preserve">s specializing in cross-border compliance and financial technology integration. The implementation strategy focused on three pillars:</w:t>
      </w:r>
    </w:p>
    <w:bookmarkStart w:id="24" w:name="Xb9f307ce29a46b8b9dbf696636d2d448525473c"/>
    <w:p>
      <w:pPr>
        <w:pStyle w:val="Heading3"/>
      </w:pPr>
      <w:r>
        <w:t xml:space="preserve">A. Regulatory Harmonization and Tax Optimization</w:t>
      </w:r>
    </w:p>
    <w:p>
      <w:pPr>
        <w:pStyle w:val="FirstParagraph"/>
      </w:pPr>
      <w:r>
        <w:t xml:space="preserve">The lead</w:t>
      </w:r>
    </w:p>
    <w:p>
      <w:pPr>
        <w:pStyle w:val="BodyText"/>
      </w:pPr>
      <w:r>
        <w:t xml:space="preserve">Accountant</w:t>
      </w:r>
      <w:r>
        <w:t xml:space="preserve"> </w:t>
      </w:r>
      <w:r>
        <w:t xml:space="preserve">conducted a comprehensive audit of existing practices against the latest regulations issued by the Indonesian Ministry of Finance relevant to businesses in</w:t>
      </w:r>
    </w:p>
    <w:p>
      <w:pPr>
        <w:pStyle w:val="BodyText"/>
      </w:pPr>
      <w:r>
        <w:t xml:space="preserve">Indonesia Jakarta</w:t>
      </w:r>
      <w:r>
        <w:t xml:space="preserve">. Key actions included:</w:t>
      </w:r>
    </w:p>
    <w:p>
      <w:pPr>
        <w:numPr>
          <w:ilvl w:val="0"/>
          <w:numId w:val="1001"/>
        </w:numPr>
        <w:pStyle w:val="Compact"/>
      </w:pPr>
      <w:r>
        <w:t xml:space="preserve">Automating VAT calculation and reporting to ensure real-time compliance with e-Faktur systems, which are mandatory for all taxpayers in Indonesia.</w:t>
      </w:r>
    </w:p>
    <w:p>
      <w:pPr>
        <w:numPr>
          <w:ilvl w:val="0"/>
          <w:numId w:val="1001"/>
        </w:numPr>
        <w:pStyle w:val="Compact"/>
      </w:pPr>
      <w:r>
        <w:t xml:space="preserve">Restructuring inter-company transactions to adhere strictly to transfer pricing documentation requirements, reducing the risk of audits and double taxation.</w:t>
      </w:r>
    </w:p>
    <w:bookmarkEnd w:id="24"/>
    <w:bookmarkStart w:id="25" w:name="b.-digital-transformation"/>
    <w:p>
      <w:pPr>
        <w:pStyle w:val="Heading3"/>
      </w:pPr>
      <w:r>
        <w:t xml:space="preserve">B. Digital Transformation</w:t>
      </w:r>
    </w:p>
    <w:p>
      <w:pPr>
        <w:pStyle w:val="FirstParagraph"/>
      </w:pPr>
      <w:r>
        <w:t xml:space="preserve">The</w:t>
      </w:r>
    </w:p>
    <w:p>
      <w:pPr>
        <w:pStyle w:val="BodyText"/>
      </w:pPr>
      <w:r>
        <w:t xml:space="preserve">Accountant</w:t>
      </w:r>
      <w:r>
        <w:t xml:space="preserve"> </w:t>
      </w:r>
      <w:r>
        <w:t xml:space="preserve">team recommended the adoption of cloud-based ERP (Enterprise Resource Planning) software. This system integrated sales, inventory, and finance modules. For a company in</w:t>
      </w:r>
    </w:p>
    <w:p>
      <w:pPr>
        <w:pStyle w:val="BodyText"/>
      </w:pPr>
      <w:r>
        <w:t xml:space="preserve">Indonesia Jakarta</w:t>
      </w:r>
      <w:r>
        <w:t xml:space="preserve">, where speed is crucial, this integration allowed for:</w:t>
      </w:r>
    </w:p>
    <w:p>
      <w:pPr>
        <w:pStyle w:val="BodyText"/>
      </w:pPr>
      <w:r>
        <w:t xml:space="preserve">Real-time consolidation of financial statements from all branches.</w:t>
      </w:r>
    </w:p>
    <w:p>
      <w:pPr>
        <w:pStyle w:val="BodyText"/>
      </w:pPr>
      <w:r>
        <w:t xml:space="preserve">Automated bank reconciliation processes that handle multiple currencies (USD, EUR, IDR).</w:t>
      </w:r>
    </w:p>
    <w:bookmarkEnd w:id="25"/>
    <w:bookmarkStart w:id="26" w:name="c.-strategic-financial-advisory"/>
    <w:p>
      <w:pPr>
        <w:pStyle w:val="Heading3"/>
      </w:pPr>
      <w:r>
        <w:t xml:space="preserve">C. Strategic Financial Advisory</w:t>
      </w:r>
    </w:p>
    <w:p>
      <w:pPr>
        <w:pStyle w:val="FirstParagraph"/>
      </w:pPr>
      <w:r>
        <w:t xml:space="preserve">Moving beyond compliance, the</w:t>
      </w:r>
    </w:p>
    <w:p>
      <w:pPr>
        <w:pStyle w:val="BodyText"/>
      </w:pPr>
      <w:r>
        <w:t xml:space="preserve">Accountant</w:t>
      </w:r>
      <w:r>
        <w:t xml:space="preserve">s provided strategic advisory services. They developed financial models to forecast cash flow under various export volume scenarios. This enabled management to negotiate better credit terms with suppliers in</w:t>
      </w:r>
    </w:p>
    <w:p>
      <w:pPr>
        <w:pStyle w:val="BodyText"/>
      </w:pPr>
      <w:r>
        <w:t xml:space="preserve">Indonesia Jakarta</w:t>
      </w:r>
      <w:r>
        <w:t xml:space="preserve"> </w:t>
      </w:r>
      <w:r>
        <w:t xml:space="preserve">and optimize working capital.</w:t>
      </w:r>
    </w:p>
    <w:bookmarkEnd w:id="26"/>
    <w:bookmarkEnd w:id="27"/>
    <w:bookmarkStart w:id="28" w:name="Xbbcd2645e0a4ce18590fb028bca12704cd38392"/>
    <w:p>
      <w:pPr>
        <w:pStyle w:val="Heading2"/>
      </w:pPr>
      <w:r>
        <w:t xml:space="preserve">5. Implementation Process and Stakeholder Engagement</w:t>
      </w:r>
    </w:p>
    <w:p>
      <w:pPr>
        <w:pStyle w:val="FirstParagraph"/>
      </w:pPr>
      <w:r>
        <w:t xml:space="preserve">The implementation was not just technical but cultural. The</w:t>
      </w:r>
    </w:p>
    <w:p>
      <w:pPr>
        <w:pStyle w:val="BodyText"/>
      </w:pPr>
      <w:r>
        <w:t xml:space="preserve">Accountant</w:t>
      </w:r>
      <w:r>
        <w:t xml:space="preserve">s worked closely with non-financial staff in Jakarta to foster a culture of financial accountability. Training sessions were conducted in both English and Bahasa Indonesia to ensure clarity across the diverse workforce.</w:t>
      </w:r>
    </w:p>
    <w:p>
      <w:pPr>
        <w:pStyle w:val="BodyText"/>
      </w:pPr>
      <w:r>
        <w:rPr>
          <w:bCs/>
          <w:b/>
        </w:rPr>
        <w:t xml:space="preserve">Key Stakeholders:</w:t>
      </w:r>
    </w:p>
    <w:p>
      <w:pPr>
        <w:pStyle w:val="BodyText"/>
      </w:pPr>
      <w:r>
        <w:t xml:space="preserve">Stakeholder</w:t>
      </w:r>
    </w:p>
    <w:p>
      <w:pPr>
        <w:pStyle w:val="BodyText"/>
      </w:pPr>
      <w:r>
        <w:t xml:space="preserve">Role in Implementation</w:t>
      </w:r>
    </w:p>
    <w:p>
      <w:pPr>
        <w:pStyle w:val="BodyText"/>
      </w:pPr>
      <w:r>
        <w:t xml:space="preserve">CFO of PT Maju Bersama</w:t>
      </w:r>
      <w:r>
        <w:t xml:space="preserve">Campaign champion and final decision-maker.</w:t>
      </w:r>
    </w:p>
    <w:p>
      <w:pPr>
        <w:pStyle w:val="BodyText"/>
      </w:pPr>
      <w:r>
        <w:t xml:space="preserve">Local</w:t>
      </w:r>
    </w:p>
    <w:p>
      <w:pPr>
        <w:pStyle w:val="BodyText"/>
      </w:pPr>
      <w:r>
        <w:t xml:space="preserve">Indonesia JakartaTax Authorities:</w:t>
      </w:r>
    </w:p>
    <w:p>
      <w:pPr>
        <w:pStyle w:val="BodyText"/>
      </w:pPr>
      <w:r>
        <w:t xml:space="preserve">Frequent communication to ensure new processes met all local reporting standards.</w:t>
      </w:r>
    </w:p>
    <w:p>
      <w:pPr>
        <w:pStyle w:val="BodyText"/>
      </w:pPr>
      <w:r>
        <w:br/>
      </w:r>
      <w:r>
        <w:t xml:space="preserve">The Regional Branch Managers in Surabaya and Medan, responsible for data entry accuracy.</w:t>
      </w:r>
    </w:p>
    <w:bookmarkEnd w:id="28"/>
    <w:bookmarkStart w:id="29" w:name="results-and-outcomes"/>
    <w:p>
      <w:pPr>
        <w:pStyle w:val="Heading2"/>
      </w:pPr>
      <w:r>
        <w:t xml:space="preserve">6. Results and Outcomes</w:t>
      </w:r>
    </w:p>
    <w:p>
      <w:pPr>
        <w:pStyle w:val="FirstParagraph"/>
      </w:pPr>
      <w:r>
        <w:t xml:space="preserve">Within 18 months of implementing the new accounting framework, PT Maju Bersama achieved significant improvements:</w:t>
      </w:r>
    </w:p>
    <w:p>
      <w:pPr>
        <w:pStyle w:val="BodyText"/>
      </w:pPr>
      <w:r>
        <w:t xml:space="preserve">Error Reduction:A 90% reduction in manual data entry errors due to automation.</w:t>
      </w:r>
    </w:p>
    <w:p>
      <w:pPr>
        <w:pStyle w:val="BodyText"/>
      </w:pPr>
      <w:r>
        <w:t xml:space="preserve">Tax Savings:Savings of approximately IDR 2 Billion (approx. $130,00 USD) through optimized tax planning and avoidance of penalties.</w:t>
      </w:r>
    </w:p>
    <w:p>
      <w:pPr>
        <w:pStyle w:val="BodyText"/>
      </w:pPr>
      <w:r>
        <w:br/>
      </w:r>
    </w:p>
    <w:p>
      <w:pPr>
        <w:pStyle w:val="BodyText"/>
      </w:pPr>
      <w:r>
        <w:t xml:space="preserve">Reporting Speed:The time taken to close monthly books was reduced from 15 days to just 3 days. This allowed for faster decision-making in the competitive market of</w:t>
      </w:r>
    </w:p>
    <w:p>
      <w:pPr>
        <w:pStyle w:val="BodyText"/>
      </w:pPr>
      <w:r>
        <w:t xml:space="preserve">Indonesia Jakarta</w:t>
      </w:r>
      <w:r>
        <w:t xml:space="preserve">.</w:t>
      </w:r>
    </w:p>
    <w:p>
      <w:pPr>
        <w:pStyle w:val="BodyText"/>
      </w:pPr>
      <w:r>
        <w:br/>
      </w:r>
    </w:p>
    <w:p>
      <w:pPr>
        <w:pStyle w:val="BodyText"/>
      </w:pPr>
      <w:r>
        <w:t xml:space="preserve">Strategic Growth:Management used improved cash flow visibility to secure a new export contract with a major European retailer.</w:t>
      </w:r>
    </w:p>
    <w:bookmarkEnd w:id="29"/>
    <w:bookmarkStart w:id="30" w:name="X76e63326ab5e4bedfdc5de305752a0a7cf9101d"/>
    <w:p>
      <w:pPr>
        <w:pStyle w:val="Heading2"/>
      </w:pPr>
      <w:r>
        <w:t xml:space="preserve">7. Discussion: The Evolving Role of the Accountant in Indonesia Jakarta</w:t>
      </w:r>
    </w:p>
    <w:p>
      <w:pPr>
        <w:pStyle w:val="FirstParagraph"/>
      </w:pPr>
      <w:r>
        <w:t xml:space="preserve">This case study highlights that the</w:t>
      </w:r>
    </w:p>
    <w:p>
      <w:pPr>
        <w:pStyle w:val="BodyText"/>
      </w:pPr>
      <w:r>
        <w:t xml:space="preserve">Accountant</w:t>
      </w:r>
      <w:r>
        <w:t xml:space="preserve"> </w:t>
      </w:r>
      <w:r>
        <w:t xml:space="preserve">in</w:t>
      </w:r>
    </w:p>
    <w:p>
      <w:pPr>
        <w:pStyle w:val="BodyText"/>
      </w:pPr>
      <w:r>
        <w:t xml:space="preserve">Indonesia Jakarta</w:t>
      </w:r>
      <w:r>
        <w:t xml:space="preserve"> </w:t>
      </w:r>
      <w:r>
        <w:t xml:space="preserve">is no longer just a number cruncher. The modern accountant must be a tech-savvy strategist who understands local regulations, international standards (IFRS), and business operations.</w:t>
      </w:r>
    </w:p>
    <w:p>
      <w:pPr>
        <w:pStyle w:val="BodyText"/>
      </w:pPr>
      <w:r>
        <w:t xml:space="preserve">The specific context of</w:t>
      </w:r>
    </w:p>
    <w:p>
      <w:pPr>
        <w:pStyle w:val="BodyText"/>
      </w:pPr>
      <w:r>
        <w:t xml:space="preserve">Indonesia Jakarta</w:t>
      </w:r>
      <w:r>
        <w:t xml:space="preserve"> </w:t>
      </w:r>
      <w:r>
        <w:t xml:space="preserve">demands adaptability. For instance, the rapid digitization of government services in Indonesia requires accountants to be proficient with digital tax platforms. Furthermore, understanding the cultural nuance of "gotong royong" (mutual cooperation) is essential when collaborating with local stakeholders and regulatory bodies.</w:t>
      </w:r>
    </w:p>
    <w:bookmarkEnd w:id="30"/>
    <w:bookmarkStart w:id="31" w:name="conclusion"/>
    <w:p>
      <w:pPr>
        <w:pStyle w:val="Heading2"/>
      </w:pPr>
      <w:r>
        <w:t xml:space="preserve">8. Conclusion</w:t>
      </w:r>
    </w:p>
    <w:p>
      <w:pPr>
        <w:pStyle w:val="FirstParagraph"/>
      </w:pPr>
      <w:r>
        <w:t xml:space="preserve">The case of PT Maju Bersama demonstrates that investing in professional</w:t>
      </w:r>
    </w:p>
    <w:p>
      <w:pPr>
        <w:pStyle w:val="BodyText"/>
      </w:pPr>
      <w:r>
        <w:t xml:space="preserve">Accountant</w:t>
      </w:r>
      <w:r>
        <w:t xml:space="preserve"> </w:t>
      </w:r>
      <w:r>
        <w:t xml:space="preserve">services tailored to the specific needs of the</w:t>
      </w:r>
    </w:p>
    <w:p>
      <w:pPr>
        <w:pStyle w:val="BodyText"/>
      </w:pPr>
      <w:r>
        <w:t xml:space="preserve">Indonesia Jakarta</w:t>
      </w:r>
      <w:r>
        <w:t xml:space="preserve"> </w:t>
      </w:r>
      <w:r>
        <w:t xml:space="preserve">market yields substantial returns. By leveraging technology, ensuring strict compliance, and providing strategic insights, accountants enable businesses to navigate complexity and achieve sustainable growth. As the business environment in</w:t>
      </w:r>
    </w:p>
    <w:p>
      <w:pPr>
        <w:pStyle w:val="BodyText"/>
      </w:pPr>
      <w:r>
        <w:t xml:space="preserve">Indonesia Jakarta</w:t>
      </w:r>
      <w:r>
        <w:t xml:space="preserve">Accountant</w:t>
      </w:r>
      <w:r>
        <w:t xml:space="preserve"> </w:t>
      </w:r>
      <w:r>
        <w:t xml:space="preserve">will only continue to rise, serving as a critical pillar for economic stability and corporate success.</w:t>
      </w:r>
    </w:p>
    <w:p>
      <w:pPr>
        <w:pStyle w:val="BodyText"/>
      </w:pPr>
      <w:r>
        <w:rPr>
          <w:bCs/>
          <w:b/>
        </w:rPr>
        <w:t xml:space="preserve">Keywords:</w:t>
      </w:r>
      <w:r>
        <w:t xml:space="preserve">Indonesia Jakarta</w:t>
      </w:r>
      <w:r>
        <w:t xml:space="preserve">,</w:t>
      </w:r>
      <w:r>
        <w:t xml:space="preserve"> </w:t>
      </w:r>
      <w:r>
        <w:t xml:space="preserve">Accountant</w:t>
      </w:r>
      <w:r>
        <w:t xml:space="preserve">, Case Study, Financial Compliance, Strategic Management.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Management by Accountants in Indonesia Jakarta</dc:title>
  <dc:creator/>
  <dc:language>en</dc:language>
  <cp:keywords/>
  <dcterms:created xsi:type="dcterms:W3CDTF">2026-07-29T05:28:04Z</dcterms:created>
  <dcterms:modified xsi:type="dcterms:W3CDTF">2026-07-29T05:28:04Z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