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Partnership</w:t>
      </w:r>
      <w:r>
        <w:t xml:space="preserve"> </w:t>
      </w:r>
      <w:r>
        <w:t xml:space="preserve">in</w:t>
      </w:r>
      <w:r>
        <w:t xml:space="preserve"> </w:t>
      </w:r>
      <w:r>
        <w:t xml:space="preserve">Italy</w:t>
      </w:r>
      <w:r>
        <w:t xml:space="preserve"> </w:t>
      </w:r>
      <w:r>
        <w:t xml:space="preserve">Milan</w:t>
      </w:r>
    </w:p>
    <w:bookmarkStart w:id="31" w:name="Xf312a53e51246642ec1c3423a4c13740ad56b6f"/>
    <w:p>
      <w:pPr>
        <w:pStyle w:val="Heading1"/>
      </w:pPr>
      <w:r>
        <w:t xml:space="preserve">Navigating Complexity: A Case Study on the Role of an Accountant in Italy Milan</w:t>
      </w:r>
    </w:p>
    <w:p>
      <w:pPr>
        <w:pStyle w:val="FirstParagraph"/>
      </w:pPr>
      <w:r>
        <w:t xml:space="preserve">Executive Summary:</w:t>
      </w:r>
      <w:r>
        <w:br/>
      </w:r>
      <w:r>
        <w:t xml:space="preserve">This case study examines the critical role of a specialized accountant operating within the dynamic economic landscape of Italy Milan. It explores how local expertise, regulatory compliance, and strategic financial planning converge to support business growth in one of Europe's most competitive financial hubs.</w:t>
      </w:r>
    </w:p>
    <w:bookmarkStart w:id="20" w:name="introduction-the-contextual-landscape"/>
    <w:p>
      <w:pPr>
        <w:pStyle w:val="Heading2"/>
      </w:pPr>
      <w:r>
        <w:t xml:space="preserve">1. Introduction: The Contextual Landscape</w:t>
      </w:r>
    </w:p>
    <w:p>
      <w:pPr>
        <w:pStyle w:val="FirstParagraph"/>
      </w:pPr>
      <w:r>
        <w:t xml:space="preserve">Milan stands as the undisputed heart of Italy’s economic engine and a premier destination for global finance, fashion, design, and innovation. For multinational corporations, startups scaling rapidly within the European Union (EU), and established family-owned enterprises (PMI - Piccole e Medie Imprese), the city represents opportunity but also presents profound administrative hurdles. Among these challenges, financial governance remains paramount.</w:t>
      </w:r>
    </w:p>
    <w:p>
      <w:pPr>
        <w:pStyle w:val="BodyText"/>
      </w:pPr>
      <w:r>
        <w:t xml:space="preserve">In this context, the traditional perception of an</w:t>
      </w:r>
      <w:r>
        <w:t xml:space="preserve"> </w:t>
      </w:r>
      <w:r>
        <w:rPr>
          <w:bCs/>
          <w:b/>
        </w:rPr>
        <w:t xml:space="preserve">Accountant</w:t>
      </w:r>
      <w:r>
        <w:t xml:space="preserve"> </w:t>
      </w:r>
      <w:r>
        <w:t xml:space="preserve">as merely a bookkeeper is obsolete. In Italy Milan today, the professional serves as a strategic partner who navigates intricate Italian tax laws (Normativa Fiscale), labor regulations (Diritto del Lavoro), and EU compliance standards. This case study analyzes how effective accounting practices drive sustainability and profitability for businesses operating in this specific geographic and regulatory environment.</w:t>
      </w:r>
    </w:p>
    <w:bookmarkEnd w:id="20"/>
    <w:bookmarkStart w:id="21" w:name="client-profile-techstart-italia-s.r.l."/>
    <w:p>
      <w:pPr>
        <w:pStyle w:val="Heading2"/>
      </w:pPr>
      <w:r>
        <w:t xml:space="preserve">2. Client Profile: TechStart Italia S.r.l.</w:t>
      </w:r>
    </w:p>
    <w:p>
      <w:pPr>
        <w:pStyle w:val="FirstParagraph"/>
      </w:pPr>
      <w:r>
        <w:t xml:space="preserve">To illustrate the value proposition, we analyze "TechStart Italia S.r.l.," a mid-sized technology firm headquartered in Italy Milan. Founded five years ago by expatriate entrepreneurs, the company specializes in software development targeting European markets. Despite strong product-market fit and revenue growth of 40% year-over-year, TechStart faced severe cash flow disruptions due to:</w:t>
      </w:r>
    </w:p>
    <w:p>
      <w:pPr>
        <w:numPr>
          <w:ilvl w:val="0"/>
          <w:numId w:val="1001"/>
        </w:numPr>
        <w:pStyle w:val="Compact"/>
      </w:pPr>
      <w:r>
        <w:t xml:space="preserve">Inefficient handling of Italian VAT (IVA) reporting.</w:t>
      </w:r>
    </w:p>
    <w:p>
      <w:pPr>
        <w:numPr>
          <w:ilvl w:val="0"/>
          <w:numId w:val="1001"/>
        </w:numPr>
        <w:pStyle w:val="Compact"/>
      </w:pPr>
      <w:r>
        <w:t xml:space="preserve">Misclassification of freelance workers versus permanent staff under strict Italian labor laws.</w:t>
      </w:r>
    </w:p>
    <w:p>
      <w:pPr>
        <w:numPr>
          <w:ilvl w:val="0"/>
          <w:numId w:val="1001"/>
        </w:numPr>
        <w:pStyle w:val="Compact"/>
      </w:pPr>
      <w:r>
        <w:t xml:space="preserve">Lack of strategic foresight regarding regional tax incentives in Lombardy region (Lombardia).</w:t>
      </w:r>
    </w:p>
    <w:bookmarkEnd w:id="21"/>
    <w:bookmarkStart w:id="25" w:name="X71ad578e7ea579c07c142229fdb5ff46006b574"/>
    <w:p>
      <w:pPr>
        <w:pStyle w:val="Heading2"/>
      </w:pPr>
      <w:r>
        <w:t xml:space="preserve">3. The Challenge: Regulatory Complexity in Italy Milan</w:t>
      </w:r>
    </w:p>
    <w:p>
      <w:pPr>
        <w:pStyle w:val="FirstParagraph"/>
      </w:pPr>
      <w:r>
        <w:t xml:space="preserve">The primary obstacle was not a lack of revenue, but rather the complexity of interacting with the Italian tax authority, Agenzia delle Entrate. Operating in Italy Milan requires specific knowledge beyond general accounting principles:</w:t>
      </w:r>
    </w:p>
    <w:bookmarkStart w:id="22" w:name="a-tax-compliance-and-fiscal-transparency"/>
    <w:p>
      <w:pPr>
        <w:pStyle w:val="Heading3"/>
      </w:pPr>
      <w:r>
        <w:t xml:space="preserve">a) Tax Compliance and Fiscal Transparency</w:t>
      </w:r>
    </w:p>
    <w:p>
      <w:pPr>
        <w:pStyle w:val="FirstParagraph"/>
      </w:pPr>
      <w:r>
        <w:t xml:space="preserve">Italy boasts one of Europe's most complex tax systems. For an</w:t>
      </w:r>
      <w:r>
        <w:t xml:space="preserve"> </w:t>
      </w:r>
      <w:r>
        <w:rPr>
          <w:bCs/>
          <w:b/>
        </w:rPr>
        <w:t xml:space="preserve">Accountant</w:t>
      </w:r>
      <w:r>
        <w:t xml:space="preserve">, ensuring compliance involves managing the annual balance sheet (Bilancio), calculating corporate income tax (IRES) and regional production taxes (IRAP), and handling electronic invoicing mandates (Fattura Elettronica). TechStart had been manually processing invoices, leading to delays in VAT recovery—a critical cash flow issue.</w:t>
      </w:r>
    </w:p>
    <w:bookmarkEnd w:id="22"/>
    <w:bookmarkStart w:id="23" w:name="b-labor-law-nuances"/>
    <w:p>
      <w:pPr>
        <w:pStyle w:val="Heading3"/>
      </w:pPr>
      <w:r>
        <w:t xml:space="preserve">b) Labor Law Nuances</w:t>
      </w:r>
    </w:p>
    <w:p>
      <w:pPr>
        <w:pStyle w:val="FirstParagraph"/>
      </w:pPr>
      <w:r>
        <w:t xml:space="preserve">The distinction between a "Partita IVA" (freelancer/tax code holder) and a subordinate employee is heavily scrutinized. Misclassification leads to severe penalties from INPS (National Social Security Institute). TechStart had engaged several developers as freelancers who worked full-time, creating significant legal liability.</w:t>
      </w:r>
    </w:p>
    <w:bookmarkEnd w:id="23"/>
    <w:bookmarkStart w:id="24" w:name="c-accessing-regional-incentives"/>
    <w:p>
      <w:pPr>
        <w:pStyle w:val="Heading3"/>
      </w:pPr>
      <w:r>
        <w:t xml:space="preserve">c) Accessing Regional Incentives</w:t>
      </w:r>
    </w:p>
    <w:p>
      <w:pPr>
        <w:pStyle w:val="FirstParagraph"/>
      </w:pPr>
      <w:r>
        <w:t xml:space="preserve">Lombardy offers various grants and tax credits for R&amp;D and innovation. However, the application process is bureaucratic and requires precise documentation. Without proper guidance, TechStart was leaving substantial public funding unclaimed.</w:t>
      </w:r>
    </w:p>
    <w:bookmarkEnd w:id="24"/>
    <w:bookmarkEnd w:id="25"/>
    <w:bookmarkStart w:id="26" w:name="X7f351168e6cbff0b54910b531c7e3276cd459fe"/>
    <w:p>
      <w:pPr>
        <w:pStyle w:val="Heading2"/>
      </w:pPr>
      <w:r>
        <w:t xml:space="preserve">4. The Solution: Integrated Accounting Services</w:t>
      </w:r>
    </w:p>
    <w:p>
      <w:pPr>
        <w:pStyle w:val="FirstParagraph"/>
      </w:pPr>
      <w:r>
        <w:t xml:space="preserve">TechStart Italia engaged a boutique accounting firm specializing in serving international clients in Italy Milan. The intervention focused on three pillars:</w:t>
      </w:r>
    </w:p>
    <w:p>
      <w:pPr>
        <w:numPr>
          <w:ilvl w:val="0"/>
          <w:numId w:val="1002"/>
        </w:numPr>
        <w:pStyle w:val="Compact"/>
      </w:pPr>
      <w:r>
        <w:rPr>
          <w:bCs/>
          <w:b/>
        </w:rPr>
        <w:t xml:space="preserve">Digital Transformation of Financial Processes:</w:t>
      </w:r>
      <w:r>
        <w:t xml:space="preserve"> </w:t>
      </w:r>
      <w:r>
        <w:t xml:space="preserve">Implementation of cloud-based accounting software integrated directly with the Italian electronic invoicing system (SdI - Sistema di Interscambio). This ensured real-time visibility into receivables and automated VAT reconciliation.</w:t>
      </w:r>
    </w:p>
    <w:p>
      <w:pPr>
        <w:numPr>
          <w:ilvl w:val="0"/>
          <w:numId w:val="1002"/>
        </w:numPr>
        <w:pStyle w:val="Compact"/>
      </w:pPr>
      <w:r>
        <w:rPr>
          <w:bCs/>
          <w:b/>
        </w:rPr>
        <w:t xml:space="preserve">Labor Audit and Restructuring:</w:t>
      </w:r>
      <w:r>
        <w:t xml:space="preserve"> </w:t>
      </w:r>
      <w:r>
        <w:t xml:space="preserve">The</w:t>
      </w:r>
      <w:r>
        <w:t xml:space="preserve"> </w:t>
      </w:r>
      <w:r>
        <w:rPr>
          <w:bCs/>
          <w:b/>
        </w:rPr>
        <w:t xml:space="preserve">Accountant</w:t>
      </w:r>
      <w:r>
        <w:t xml:space="preserve">, in collaboration with legal counsel, reviewed all contractor agreements. Those deemed permanent employees were transitioned to standard employment contracts, while others were restructured into legitimate freelance arrangements compliant with Italian law.</w:t>
      </w:r>
    </w:p>
    <w:p>
      <w:pPr>
        <w:numPr>
          <w:ilvl w:val="0"/>
          <w:numId w:val="1002"/>
        </w:numPr>
        <w:pStyle w:val="Compact"/>
      </w:pPr>
      <w:r>
        <w:rPr>
          <w:bCs/>
          <w:b/>
        </w:rPr>
        <w:t xml:space="preserve">Strategic Tax Planning:</w:t>
      </w:r>
      <w:r>
        <w:t xml:space="preserve"> </w:t>
      </w:r>
      <w:r>
        <w:t xml:space="preserve">Leveraging local expertise in Italy Milan tax codes, the firm identified eligible R&amp;D tax credits (Credito d’Imposta Ricerca e Sviluppo). They also optimized the company’s fiscal residence strategy to maximize benefits available within the Lombardy region.</w:t>
      </w:r>
    </w:p>
    <w:bookmarkEnd w:id="26"/>
    <w:bookmarkStart w:id="27" w:name="implementation-and-execution"/>
    <w:p>
      <w:pPr>
        <w:pStyle w:val="Heading2"/>
      </w:pPr>
      <w:r>
        <w:t xml:space="preserve">5. Implementation and Execution</w:t>
      </w:r>
    </w:p>
    <w:p>
      <w:pPr>
        <w:pStyle w:val="FirstParagraph"/>
      </w:pPr>
      <w:r>
        <w:t xml:space="preserve">The transition period lasted four months. Key activities included:</w:t>
      </w:r>
    </w:p>
    <w:p>
      <w:pPr>
        <w:numPr>
          <w:ilvl w:val="0"/>
          <w:numId w:val="1003"/>
        </w:numPr>
        <w:pStyle w:val="Compact"/>
      </w:pPr>
      <w:r>
        <w:rPr>
          <w:bCs/>
          <w:b/>
        </w:rPr>
        <w:t xml:space="preserve">Audit Phase:</w:t>
      </w:r>
    </w:p>
    <w:p>
      <w:pPr>
        <w:numPr>
          <w:ilvl w:val="0"/>
          <w:numId w:val="1003"/>
        </w:numPr>
        <w:pStyle w:val="Compact"/>
      </w:pPr>
      <w:r>
        <w:rPr>
          <w:bCs/>
          <w:b/>
        </w:rPr>
        <w:t xml:space="preserve">System Setup:</w:t>
      </w:r>
    </w:p>
    <w:p>
      <w:pPr>
        <w:numPr>
          <w:ilvl w:val="0"/>
          <w:numId w:val="1003"/>
        </w:numPr>
        <w:pStyle w:val="Compact"/>
      </w:pPr>
      <w:r>
        <w:rPr>
          <w:bCs/>
          <w:b/>
        </w:rPr>
        <w:t xml:space="preserve">Training:</w:t>
      </w:r>
    </w:p>
    <w:p>
      <w:pPr>
        <w:numPr>
          <w:ilvl w:val="0"/>
          <w:numId w:val="1003"/>
        </w:numPr>
        <w:pStyle w:val="Compact"/>
      </w:pPr>
      <w:r>
        <w:rPr>
          <w:bCs/>
          <w:b/>
        </w:rPr>
        <w:t xml:space="preserve">Ongoing Monitoring:</w:t>
      </w:r>
    </w:p>
    <w:bookmarkEnd w:id="27"/>
    <w:bookmarkStart w:id="28" w:name="results-and-impact"/>
    <w:p>
      <w:pPr>
        <w:pStyle w:val="Heading2"/>
      </w:pPr>
      <w:r>
        <w:t xml:space="preserve">6. Results and Impact</w:t>
      </w:r>
    </w:p>
    <w:p>
      <w:pPr>
        <w:pStyle w:val="FirstParagraph"/>
      </w:pPr>
      <w:r>
        <w:t xml:space="preserve">The restructuring yielded immediate and measurable results for TechStart Italia in Italy Milan:</w:t>
      </w:r>
    </w:p>
    <w:p>
      <w:pPr>
        <w:pStyle w:val="BodyText"/>
      </w:pPr>
      <w:r>
        <w:t xml:space="preserve">Metric</w:t>
      </w:r>
    </w:p>
    <w:p>
      <w:pPr>
        <w:pStyle w:val="BodyText"/>
      </w:pPr>
      <w:r>
        <w:t xml:space="preserve">Before Intervention</w:t>
      </w:r>
    </w:p>
    <w:p>
      <w:pPr>
        <w:pStyle w:val="BodyText"/>
      </w:pPr>
      <w:r>
        <w:t xml:space="preserve">After 12 Months</w:t>
      </w:r>
    </w:p>
    <w:p>
      <w:pPr>
        <w:pStyle w:val="BodyText"/>
      </w:pPr>
      <w:r>
        <w:t xml:space="preserve">&gt;VAT Recovery Cycle Time</w:t>
      </w:r>
    </w:p>
    <w:p>
      <w:pPr>
        <w:pStyle w:val="BodyText"/>
      </w:pPr>
      <w:r>
        <w:t xml:space="preserve">-45 Days (Average)</w:t>
      </w:r>
    </w:p>
    <w:p>
      <w:pPr>
        <w:pStyle w:val="BodyText"/>
      </w:pPr>
      <w:r>
        <w:rPr>
          <w:bCs/>
          <w:b/>
        </w:rPr>
        <w:t xml:space="preserve">+7 Days (Average)</w:t>
      </w:r>
    </w:p>
    <w:p>
      <w:pPr>
        <w:pStyle w:val="BodyText"/>
      </w:pPr>
      <w:r>
        <w:t xml:space="preserve">+30%</w:t>
      </w:r>
    </w:p>
    <w:p>
      <w:pPr>
        <w:pStyle w:val="BodyText"/>
      </w:pPr>
      <w:r>
        <w:t xml:space="preserve">&gt;Legal Compliance Risk</w:t>
      </w:r>
    </w:p>
    <w:p>
      <w:pPr>
        <w:pStyle w:val="BodyText"/>
      </w:pPr>
      <w:r>
        <w:t xml:space="preserve">&gt;High</w:t>
      </w:r>
    </w:p>
    <w:p>
      <w:pPr>
        <w:pStyle w:val="BodyText"/>
      </w:pPr>
      <w:r>
        <w:t xml:space="preserve">&gt;Low / Mitigated</w:t>
      </w:r>
    </w:p>
    <w:p>
      <w:pPr>
        <w:pStyle w:val="BodyText"/>
      </w:pPr>
      <w:r>
        <w:t xml:space="preserve">Cash Flow Stability</w:t>
      </w:r>
      <w:r>
        <w:rPr>
          <w:bCs/>
          <w:b/>
        </w:rPr>
        <w:t xml:space="preserve">Moderate Fluctuation)</w:t>
      </w:r>
    </w:p>
    <w:p>
      <w:pPr>
        <w:pStyle w:val="BodyText"/>
      </w:pPr>
      <w:r>
        <w:t xml:space="preserve">Predictable &amp; Positive Growth)</w:t>
      </w:r>
    </w:p>
    <w:p>
      <w:pPr>
        <w:pStyle w:val="BodyText"/>
      </w:pPr>
      <w:r>
        <w:t xml:space="preserve">Beyond metrics, the qualitative impact was significant. The management team regained peace of mind regarding compliance in Italy Milan, allowing them to focus on product development and market expansion. Furthermore, by securing previously unclaimed R&amp;D tax credits, TechStart received a one-time cash injection equivalent to 8% of its annual revenue.</w:t>
      </w:r>
    </w:p>
    <w:bookmarkEnd w:id="28"/>
    <w:bookmarkStart w:id="29" w:name="discussion-the-value-of-local-expertise"/>
    <w:p>
      <w:pPr>
        <w:pStyle w:val="Heading2"/>
      </w:pPr>
      <w:r>
        <w:t xml:space="preserve">7. Discussion: The Value of Local Expertise</w:t>
      </w:r>
    </w:p>
    <w:p>
      <w:pPr>
        <w:pStyle w:val="FirstParagraph"/>
      </w:pPr>
      <w:r>
        <w:t xml:space="preserve">This case study underscores that an</w:t>
      </w:r>
      <w:r>
        <w:t xml:space="preserve"> </w:t>
      </w:r>
      <w:r>
        <w:rPr>
          <w:bCs/>
          <w:b/>
        </w:rPr>
        <w:t xml:space="preserve">Accountant</w:t>
      </w:r>
      <w:r>
        <w:t xml:space="preserve"> </w:t>
      </w:r>
      <w:r>
        <w:t xml:space="preserve">in Italy Milan is not just a processor of numbers but a navigator of local culture, language, and bureaucracy. The nuances of Italian fiscal law cannot be outsourced to generic international platforms without significant risk.</w:t>
      </w:r>
    </w:p>
    <w:p>
      <w:pPr>
        <w:pStyle w:val="BodyText"/>
      </w:pPr>
      <w:r>
        <w:t xml:space="preserve">Key takeaways for businesses operating in this region include:</w:t>
      </w:r>
    </w:p>
    <w:p>
      <w:pPr>
        <w:numPr>
          <w:ilvl w:val="0"/>
          <w:numId w:val="1004"/>
        </w:numPr>
        <w:pStyle w:val="Compact"/>
      </w:pPr>
      <w:r>
        <w:rPr>
          <w:bCs/>
          <w:b/>
        </w:rPr>
        <w:t xml:space="preserve">Linguistic Precision:</w:t>
      </w:r>
      <w:r>
        <w:t xml:space="preserve"> </w:t>
      </w:r>
      <w:r>
        <w:t xml:space="preserve">Financial terms in Italian (e.g., "Dichiarazione dei Redditi") carry specific legal weight that requires native-level understanding.</w:t>
      </w:r>
    </w:p>
    <w:p>
      <w:pPr>
        <w:numPr>
          <w:ilvl w:val="0"/>
          <w:numId w:val="1004"/>
        </w:numPr>
        <w:pStyle w:val="Compact"/>
      </w:pPr>
      <w:r>
        <w:rPr>
          <w:bCs/>
          <w:b/>
        </w:rPr>
        <w:t xml:space="preserve">Cultural Context:</w:t>
      </w:r>
      <w:r>
        <w:t xml:space="preserve"> </w:t>
      </w:r>
      <w:r>
        <w:t xml:space="preserve">Building relationships with local banks and tax authorities often requires face-to-face interaction and an understanding of local business etiquette prevalent in Italy Milan.</w:t>
      </w:r>
    </w:p>
    <w:p>
      <w:pPr>
        <w:numPr>
          <w:ilvl w:val="0"/>
          <w:numId w:val="1004"/>
        </w:numPr>
        <w:pStyle w:val="Compact"/>
      </w:pPr>
      <w:r>
        <w:rPr>
          <w:bCs/>
          <w:b/>
        </w:rPr>
        <w:t xml:space="preserve">Proactive vs. Reactive:</w:t>
      </w:r>
      <w:r>
        <w:t xml:space="preserve"> </w:t>
      </w:r>
      <w:r>
        <w:t xml:space="preserve">Effective accounting involves anticipating changes in legislation (such as recent digital transition mandates) rather than merely reacting to them.</w:t>
      </w:r>
    </w:p>
    <w:bookmarkEnd w:id="29"/>
    <w:bookmarkStart w:id="30" w:name="conclusion"/>
    <w:p>
      <w:pPr>
        <w:pStyle w:val="Heading2"/>
      </w:pPr>
      <w:r>
        <w:t xml:space="preserve">8. Conclusion</w:t>
      </w:r>
    </w:p>
    <w:p>
      <w:pPr>
        <w:pStyle w:val="FirstParagraph"/>
      </w:pPr>
      <w:r>
        <w:t xml:space="preserve">The evolution of the accounting profession in Italy Milan reflects a broader shift towards strategic financial management. For companies like TechStart Italia, partnering with a specialized</w:t>
      </w:r>
      <w:r>
        <w:t xml:space="preserve"> </w:t>
      </w:r>
      <w:r>
        <w:rPr>
          <w:bCs/>
          <w:b/>
        </w:rPr>
        <w:t xml:space="preserve">Accountant</w:t>
      </w:r>
      <w:r>
        <w:t xml:space="preserve"> </w:t>
      </w:r>
      <w:r>
        <w:t xml:space="preserve">was not an administrative burden but a catalyst for growth and stability.</w:t>
      </w:r>
    </w:p>
    <w:p>
      <w:pPr>
        <w:pStyle w:val="BodyText"/>
      </w:pPr>
      <w:r>
        <w:t xml:space="preserve">In conclusion, success in the competitive market of Italy Milan demands more than just commercial acumen; it requires robust financial governance tailored to local regulations. This case study demonstrates that when an accountant leverages deep local knowledge, technological integration, and strategic insight, they become indispensable allies in navigating the complexities of doing business in Italy.</w:t>
      </w:r>
    </w:p>
    <w:p>
      <w:pPr>
        <w:pStyle w:val="BodyText"/>
      </w:pPr>
      <w:r>
        <w:t xml:space="preserve">Future research should explore how emerging technologies like AI-driven compliance tools can further enhance the efficiency of accounting services in Italy Milan while maintaining human oversight for complex regulatory interpretations.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Partnership in Italy Milan</dc:title>
  <dc:creator/>
  <dc:language>en</dc:language>
  <cp:keywords/>
  <dcterms:created xsi:type="dcterms:W3CDTF">2026-07-29T04:30:38Z</dcterms:created>
  <dcterms:modified xsi:type="dcterms:W3CDTF">2026-07-29T04:30:38Z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