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Financial</w:t>
      </w:r>
      <w:r>
        <w:t xml:space="preserve"> </w:t>
      </w:r>
      <w:r>
        <w:t xml:space="preserve">Transformation</w:t>
      </w:r>
      <w:r>
        <w:t xml:space="preserve"> </w:t>
      </w:r>
      <w:r>
        <w:t xml:space="preserve">for</w:t>
      </w:r>
      <w:r>
        <w:t xml:space="preserve"> </w:t>
      </w:r>
      <w:r>
        <w:t xml:space="preserve">a</w:t>
      </w:r>
      <w:r>
        <w:t xml:space="preserve"> </w:t>
      </w:r>
      <w:r>
        <w:t xml:space="preserve">Tech</w:t>
      </w:r>
      <w:r>
        <w:t xml:space="preserve"> </w:t>
      </w:r>
      <w:r>
        <w:t xml:space="preserve">Startup</w:t>
      </w:r>
      <w:r>
        <w:t xml:space="preserve"> </w:t>
      </w:r>
      <w:r>
        <w:t xml:space="preserve">in</w:t>
      </w:r>
      <w:r>
        <w:t xml:space="preserve"> </w:t>
      </w:r>
      <w:r>
        <w:t xml:space="preserve">Malaysia</w:t>
      </w:r>
      <w:r>
        <w:t xml:space="preserve"> </w:t>
      </w:r>
      <w:r>
        <w:t xml:space="preserve">Kuala</w:t>
      </w:r>
      <w:r>
        <w:t xml:space="preserve"> </w:t>
      </w:r>
      <w:r>
        <w:t xml:space="preserve">Lumpur</w:t>
      </w:r>
    </w:p>
    <w:bookmarkStart w:id="28" w:name="Xd2e235332008380d375371a7be8463bd4054b36"/>
    <w:p>
      <w:pPr>
        <w:pStyle w:val="Heading1"/>
      </w:pPr>
      <w:r>
        <w:t xml:space="preserve">Case Study Optimizing Fiscal Compliance and Growth for a Fintech Enterprise in Malaysia Kuala Lumpur</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Malaysia, Kuala Lumpur</w:t>
      </w:r>
      <w:r>
        <w:br/>
      </w:r>
      <w:r>
        <w:rPr>
          <w:bCs/>
          <w:b/>
        </w:rPr>
        <w:t xml:space="preserve">Critical Role Analyzed:</w:t>
      </w:r>
      <w:r>
        <w:br/>
      </w:r>
      <w:r>
        <w:t xml:space="preserve">Meticulous Accountant for Regulatory Compliance and Financial Strategy.</w:t>
      </w:r>
    </w:p>
    <w:bookmarkStart w:id="20" w:name="the-context-of-operations-in-malaysia"/>
    <w:p>
      <w:pPr>
        <w:pStyle w:val="Heading2"/>
      </w:pPr>
      <w:r>
        <w:t xml:space="preserve">The Context of Operations in Malaysia</w:t>
      </w:r>
    </w:p>
    <w:p>
      <w:pPr>
        <w:pStyle w:val="FirstParagraph"/>
      </w:pPr>
      <w:r>
        <w:t xml:space="preserve">In the dynamic economic landscape of modern Asia,</w:t>
      </w:r>
      <w:r>
        <w:t xml:space="preserve"> </w:t>
      </w:r>
      <w:r>
        <w:rPr>
          <w:bCs/>
          <w:b/>
        </w:rPr>
        <w:t xml:space="preserve">Malaysia Kuala Lumpur</w:t>
      </w:r>
      <w:r>
        <w:t xml:space="preserve"> </w:t>
      </w:r>
      <w:r>
        <w:t xml:space="preserve">has emerged as a premier hub for technology and financial services. The city serves as the beating heart of the nation’s economy, hosting thousands of multinational corporations alongside a vibrant ecosystem of startups. Within this high-pressure environment, regulatory frameworks are complex and constantly evolving. Companies operating here must navigate strict guidelines set by the Inland Revenue Board of Malaysia (LHDN), comply with Malaysian Financial Reporting Standards (MFRS), and adhere to the stringent directives of the Labuan Business Activity Tax Act if dealing with international trade.</w:t>
      </w:r>
      <w:r>
        <w:t xml:space="preserve"> </w:t>
      </w:r>
      <w:r>
        <w:t xml:space="preserve">This case study examines how a specialized</w:t>
      </w:r>
      <w:r>
        <w:t xml:space="preserve"> </w:t>
      </w:r>
      <w:r>
        <w:rPr>
          <w:bCs/>
          <w:b/>
        </w:rPr>
        <w:t xml:space="preserve">Accountant</w:t>
      </w:r>
      <w:r>
        <w:t xml:space="preserve"> </w:t>
      </w:r>
      <w:r>
        <w:t xml:space="preserve">played a pivotal role in steering "NeoPay Solutions," a mid-sized fintech startup based in the central business district of</w:t>
      </w:r>
      <w:r>
        <w:t xml:space="preserve"> </w:t>
      </w:r>
      <w:r>
        <w:rPr>
          <w:bCs/>
          <w:b/>
        </w:rPr>
        <w:t xml:space="preserve">Malaysia Kuala Lumpur</w:t>
      </w:r>
      <w:r>
        <w:t xml:space="preserve">, through a period of rapid expansion and critical regulatory scrutiny. The scenario highlights why expertise in local taxation and accounting practices is not merely an administrative necessity but a strategic imperative for survival and growth in this specific geographic market.</w:t>
      </w:r>
    </w:p>
    <w:bookmarkEnd w:id="20"/>
    <w:bookmarkStart w:id="21" w:name="X684e53f8f27eafb7af79976069dbb9f1dba490f"/>
    <w:p>
      <w:pPr>
        <w:pStyle w:val="Heading2"/>
      </w:pPr>
      <w:r>
        <w:t xml:space="preserve">The Challenge: Scaling Without Structural Integrity</w:t>
      </w:r>
    </w:p>
    <w:p>
      <w:pPr>
        <w:pStyle w:val="FirstParagraph"/>
      </w:pPr>
      <w:r>
        <w:t xml:space="preserve">NeoPay Solutions had experienced exponential user growth over eighteen months, securing significant venture capital funding from both local angel investors in Petaling Jaya and international firms. However, as revenue streams diversified across cross-border transactions within Southeast Asia, the company faced severe internal friction. The initial financial records were managed by a generalist administrator who lacked deep expertise in Malaysian tax laws.</w:t>
      </w:r>
      <w:r>
        <w:t xml:space="preserve"> </w:t>
      </w:r>
      <w:r>
        <w:t xml:space="preserve">The primary challenges facing the organization included:</w:t>
      </w:r>
    </w:p>
    <w:p>
      <w:pPr>
        <w:numPr>
          <w:ilvl w:val="0"/>
          <w:numId w:val="1001"/>
        </w:numPr>
        <w:pStyle w:val="Compact"/>
      </w:pPr>
      <w:r>
        <w:rPr>
          <w:bCs/>
          <w:b/>
        </w:rPr>
        <w:t xml:space="preserve">Regulatory Ambiguity:</w:t>
      </w:r>
      <w:r>
        <w:t xml:space="preserve"> </w:t>
      </w:r>
      <w:r>
        <w:t xml:space="preserve">Confusion regarding Goods and Services Tax (GST) implications following its reinstatement, specifically concerning digital services provided to non-resident consumers.</w:t>
      </w:r>
    </w:p>
    <w:p>
      <w:pPr>
        <w:numPr>
          <w:ilvl w:val="0"/>
          <w:numId w:val="1001"/>
        </w:numPr>
        <w:pStyle w:val="Compact"/>
      </w:pPr>
      <w:r>
        <w:rPr>
          <w:bCs/>
          <w:b/>
        </w:rPr>
        <w:t xml:space="preserve">Cash Flow Mismanagement:</w:t>
      </w:r>
      <w:r>
        <w:t xml:space="preserve"> </w:t>
      </w:r>
      <w:r>
        <w:t xml:space="preserve">Inaccurate forecasting due to unstandardized bookkeeping practices led to liquidity crises during peak transaction months.</w:t>
      </w:r>
    </w:p>
    <w:p>
      <w:pPr>
        <w:numPr>
          <w:ilvl w:val="0"/>
          <w:numId w:val="1001"/>
        </w:numPr>
        <w:pStyle w:val="Compact"/>
      </w:pPr>
      <w:r>
        <w:rPr>
          <w:bCs/>
          <w:b/>
        </w:rPr>
        <w:t xml:space="preserve">Audit Vulnerability:</w:t>
      </w:r>
      <w:r>
        <w:t xml:space="preserve"> </w:t>
      </w:r>
      <w:r>
        <w:t xml:space="preserve">The absence of documented compliance trails made the company vulnerable to penalties during random audits by LHDN in</w:t>
      </w:r>
      <w:r>
        <w:t xml:space="preserve"> </w:t>
      </w:r>
      <w:r>
        <w:rPr>
          <w:bCs/>
          <w:b/>
        </w:rPr>
        <w:t xml:space="preserve">Malaysia Kuala Lumpur</w:t>
      </w:r>
      <w:r>
        <w:t xml:space="preserve">.</w:t>
      </w:r>
    </w:p>
    <w:p>
      <w:pPr>
        <w:pStyle w:val="FirstParagraph"/>
      </w:pPr>
      <w:r>
        <w:t xml:space="preserve">Without a dedicated, expert</w:t>
      </w:r>
      <w:r>
        <w:t xml:space="preserve"> </w:t>
      </w:r>
      <w:r>
        <w:rPr>
          <w:bCs/>
          <w:b/>
        </w:rPr>
        <w:t xml:space="preserve">Accountant, the founders feared that their aggressive expansion plans would be halted by unexpected tax liabilities or frozen bank accounts due to compliance failures.</w:t>
      </w:r>
    </w:p>
    <w:bookmarkEnd w:id="21"/>
    <w:bookmarkStart w:id="25" w:name="Xa4d1ea5f328740847ef6b79cafc73fe6d16e081"/>
    <w:p>
      <w:pPr>
        <w:pStyle w:val="Heading2"/>
      </w:pPr>
      <w:r>
        <w:t xml:space="preserve">The Intervention: Engaging Specialized Accounting Expertise</w:t>
      </w:r>
    </w:p>
    <w:p>
      <w:pPr>
        <w:pStyle w:val="FirstParagraph"/>
      </w:pPr>
      <w:r>
        <w:t xml:space="preserve">To address these critical gaps, NeoPay Solutions recruited a senior</w:t>
      </w:r>
      <w:r>
        <w:t xml:space="preserve"> </w:t>
      </w:r>
      <w:r>
        <w:rPr>
          <w:bCs/>
          <w:b/>
        </w:rPr>
        <w:t xml:space="preserve">Accountant</w:t>
      </w:r>
      <w:r>
        <w:t xml:space="preserve"> </w:t>
      </w:r>
      <w:r>
        <w:t xml:space="preserve">with ten years of experience specifically in the Kuala Lumpur market. This professional brought deep knowledge of the unique fiscal environment in</w:t>
      </w:r>
      <w:r>
        <w:t xml:space="preserve"> </w:t>
      </w:r>
      <w:r>
        <w:rPr>
          <w:bCs/>
          <w:b/>
        </w:rPr>
        <w:t xml:space="preserve">Malaysia Kuala Lumpur</w:t>
      </w:r>
      <w:r>
        <w:t xml:space="preserve">, understanding not just the letter of the law, but also its practical enforcement nuances.</w:t>
      </w:r>
      <w:r>
        <w:t xml:space="preserve"> </w:t>
      </w:r>
      <w:r>
        <w:t xml:space="preserve">The intervention strategy focused on three core pillars: Compliance, Optimization, and Strategic Insight.</w:t>
      </w:r>
    </w:p>
    <w:bookmarkStart w:id="22" w:name="remediation-of-historical-compliance"/>
    <w:p>
      <w:pPr>
        <w:pStyle w:val="Heading3"/>
      </w:pPr>
      <w:r>
        <w:t xml:space="preserve">1. Remediation of Historical Compliance</w:t>
      </w:r>
    </w:p>
    <w:p>
      <w:pPr>
        <w:pStyle w:val="FirstParagraph"/>
      </w:pPr>
      <w:r>
        <w:t xml:space="preserve">The first month was dedicated to forensic accounting. The</w:t>
      </w:r>
      <w:r>
        <w:t xml:space="preserve"> </w:t>
      </w:r>
      <w:r>
        <w:rPr>
          <w:bCs/>
          <w:b/>
        </w:rPr>
        <w:t xml:space="preserve">Accountant</w:t>
      </w:r>
      <w:r>
        <w:t xml:space="preserve"> </w:t>
      </w:r>
      <w:r>
        <w:t xml:space="preserve">reviewed all historical transactions dating back two years to ensure alignment with LHDN requirements. In the context of</w:t>
      </w:r>
      <w:r>
        <w:t xml:space="preserve"> </w:t>
      </w:r>
      <w:r>
        <w:rPr>
          <w:bCs/>
          <w:b/>
        </w:rPr>
        <w:t xml:space="preserve">Malaysia Kuala Lumpur</w:t>
      </w:r>
      <w:r>
        <w:t xml:space="preserve">, where tax authorities are increasingly leveraging data analytics for audit selection, accuracy was paramount. The accountant identified discrepancies in payroll tax (PCB) calculations and sales tax registrations for specific service tiers. By proactively correcting these errors before an official inquiry, the company avoided potential penalties that could have amounted to hundreds of thousands of Ringgit.</w:t>
      </w:r>
    </w:p>
    <w:bookmarkEnd w:id="22"/>
    <w:bookmarkStart w:id="23" w:name="X792efaa2eab03cfc71d5230fb913aa36f28e4e3"/>
    <w:p>
      <w:pPr>
        <w:pStyle w:val="Heading3"/>
      </w:pPr>
      <w:r>
        <w:t xml:space="preserve">2. Implementation of Robust Financial Systems</w:t>
      </w:r>
    </w:p>
    <w:p>
      <w:pPr>
        <w:pStyle w:val="FirstParagraph"/>
      </w:pPr>
      <w:r>
        <w:t xml:space="preserve">Recognizing that manual processes were unsustainable, the</w:t>
      </w:r>
      <w:r>
        <w:t xml:space="preserve"> </w:t>
      </w:r>
      <w:r>
        <w:rPr>
          <w:bCs/>
          <w:b/>
        </w:rPr>
        <w:t xml:space="preserve">Accountant</w:t>
      </w:r>
      <w:r>
        <w:t xml:space="preserve"> </w:t>
      </w:r>
      <w:r>
        <w:t xml:space="preserve">led the digital transformation of the finance department. They implemented an integrated ERP system capable of handling multi-currency transactions, which was essential for a fintech firm operating across borders. The system was configured to automatically generate MFRS-compliant financial statements. This move standardized reporting and provided real-time visibility into cash flow, allowing management in</w:t>
      </w:r>
      <w:r>
        <w:t xml:space="preserve"> </w:t>
      </w:r>
      <w:r>
        <w:rPr>
          <w:bCs/>
          <w:b/>
        </w:rPr>
        <w:t xml:space="preserve">Malaysia Kuala Lumpur</w:t>
      </w:r>
      <w:r>
        <w:t xml:space="preserve"> </w:t>
      </w:r>
      <w:r>
        <w:t xml:space="preserve">to make data-driven decisions rather than relying on lagging indicators.</w:t>
      </w:r>
    </w:p>
    <w:bookmarkEnd w:id="23"/>
    <w:bookmarkStart w:id="24" w:name="strategic-tax-planning-and-optimization"/>
    <w:p>
      <w:pPr>
        <w:pStyle w:val="Heading3"/>
      </w:pPr>
      <w:r>
        <w:t xml:space="preserve">3. Strategic Tax Planning and Optimization</w:t>
      </w:r>
    </w:p>
    <w:p>
      <w:pPr>
        <w:pStyle w:val="FirstParagraph"/>
      </w:pPr>
      <w:r>
        <w:t xml:space="preserve">Beyond compliance, the</w:t>
      </w:r>
      <w:r>
        <w:t xml:space="preserve"> </w:t>
      </w:r>
      <w:r>
        <w:rPr>
          <w:bCs/>
          <w:b/>
        </w:rPr>
        <w:t xml:space="preserve">Accountant introduced proactive tax planning strategies tailored to incentives available in Malaysia. This included applying for the Pioneer Status incentive provided by MIDA (Malaysian Investment Development Authority), which offered tax exemptions for qualifying tech activities. The accountant also structured inter-company payments between NeoPay’s branches in Singapore and its headquarters in</w:t>
      </w:r>
      <w:r>
        <w:rPr>
          <w:bCs/>
          <w:b/>
        </w:rPr>
        <w:t xml:space="preserve"> </w:t>
      </w:r>
      <w:r>
        <w:rPr>
          <w:bCs/>
          <w:b/>
          <w:bCs/>
          <w:b/>
        </w:rPr>
        <w:t xml:space="preserve">Malaysia Kuala Lumpur</w:t>
      </w:r>
      <w:r>
        <w:rPr>
          <w:bCs/>
          <w:b/>
        </w:rPr>
        <w:t xml:space="preserve"> </w:t>
      </w:r>
      <w:r>
        <w:rPr>
          <w:bCs/>
          <w:b/>
        </w:rPr>
        <w:t xml:space="preserve">to optimize transfer pricing liabilities, ensuring that every dollar saved contributed directly to the company’s bottom line.</w:t>
      </w:r>
    </w:p>
    <w:bookmarkEnd w:id="24"/>
    <w:bookmarkEnd w:id="25"/>
    <w:bookmarkStart w:id="26" w:name="X2fcdd712ac165119e61db9b8a9b944c2269c997"/>
    <w:p>
      <w:pPr>
        <w:pStyle w:val="Heading2"/>
      </w:pPr>
      <w:r>
        <w:t xml:space="preserve">The Outcomes: A Model of Efficiency and Compliance</w:t>
      </w:r>
    </w:p>
    <w:p>
      <w:pPr>
        <w:pStyle w:val="FirstParagraph"/>
      </w:pPr>
      <w:r>
        <w:t xml:space="preserve">Within twelve months of the new accounting framework being fully operational, NeoPay Solutions reported transformative results. The financial health of the organization improved significantly, demonstrating the value of a highly skilled</w:t>
      </w:r>
      <w:r>
        <w:t xml:space="preserve"> </w:t>
      </w:r>
      <w:r>
        <w:rPr>
          <w:bCs/>
          <w:b/>
        </w:rPr>
        <w:t xml:space="preserve">Accountant in a competitive market like</w:t>
      </w:r>
      <w:r>
        <w:rPr>
          <w:bCs/>
          <w:b/>
        </w:rPr>
        <w:t xml:space="preserve"> </w:t>
      </w:r>
      <w:r>
        <w:rPr>
          <w:bCs/>
          <w:b/>
          <w:bCs/>
          <w:b/>
        </w:rPr>
        <w:t xml:space="preserve">Malaysia Kuala Lumpur</w:t>
      </w:r>
      <w:r>
        <w:rPr>
          <w:bCs/>
          <w:b/>
        </w:rPr>
        <w:t xml:space="preserve">.</w:t>
      </w:r>
      <w:r>
        <w:rPr>
          <w:bCs/>
          <w:b/>
        </w:rPr>
        <w:t xml:space="preserve"> </w:t>
      </w:r>
      <w:r>
        <w:rPr>
          <w:bCs/>
          <w:b/>
        </w:rPr>
        <w:t xml:space="preserve">Key achievements included:</w:t>
      </w:r>
    </w:p>
    <w:p>
      <w:pPr>
        <w:numPr>
          <w:ilvl w:val="0"/>
          <w:numId w:val="1002"/>
        </w:numPr>
        <w:pStyle w:val="Compact"/>
      </w:pPr>
      <w:r>
        <w:rPr>
          <w:bCs/>
          <w:b/>
        </w:rPr>
        <w:t xml:space="preserve">Fully Compliant Operations:</w:t>
      </w:r>
      <w:r>
        <w:t xml:space="preserve"> </w:t>
      </w:r>
      <w:r>
        <w:t xml:space="preserve">The company passed its first LHDN audit with zero discrepancies, earning a clean report that boosted investor confidence.</w:t>
      </w:r>
    </w:p>
    <w:p>
      <w:pPr>
        <w:numPr>
          <w:ilvl w:val="0"/>
          <w:numId w:val="1002"/>
        </w:numPr>
        <w:pStyle w:val="Compact"/>
      </w:pPr>
      <w:r>
        <w:rPr>
          <w:bCs/>
          <w:b/>
        </w:rPr>
        <w:t xml:space="preserve">Tax Savings:</w:t>
      </w:r>
      <w:r>
        <w:t xml:space="preserve"> </w:t>
      </w:r>
      <w:r>
        <w:t xml:space="preserve">Through strategic use of available tax incentives and accurate expense categorization, the firm reduced its effective corporate tax rate by 15% compared to industry averages.</w:t>
      </w:r>
    </w:p>
    <w:p>
      <w:pPr>
        <w:numPr>
          <w:ilvl w:val="0"/>
          <w:numId w:val="1002"/>
        </w:numPr>
        <w:pStyle w:val="Compact"/>
      </w:pPr>
      <w:r>
        <w:rPr>
          <w:bCs/>
          <w:b/>
        </w:rPr>
        <w:t xml:space="preserve">Improved Cash Flow Visibility:</w:t>
      </w:r>
      <w:r>
        <w:t xml:space="preserve"> </w:t>
      </w:r>
      <w:r>
        <w:t xml:space="preserve">Real-time financial dashboards allowed for better liquidity management, reducing idle cash reserves by 20% while maintaining a safe operational buffer.</w:t>
      </w:r>
    </w:p>
    <w:p>
      <w:pPr>
        <w:numPr>
          <w:ilvl w:val="0"/>
          <w:numId w:val="1002"/>
        </w:numPr>
        <w:pStyle w:val="Compact"/>
      </w:pPr>
      <w:r>
        <w:rPr>
          <w:bCs/>
          <w:b/>
        </w:rPr>
        <w:t xml:space="preserve">Bidirectional Trust:</w:t>
      </w:r>
      <w:r>
        <w:t xml:space="preserve"> </w:t>
      </w:r>
      <w:r>
        <w:t xml:space="preserve">With robust accounting practices established, NeoPay was able to secure an additional Series B funding round. International investors cited the rigorous compliance standards maintained by their local</w:t>
      </w:r>
    </w:p>
    <w:p>
      <w:pPr>
        <w:numPr>
          <w:ilvl w:val="0"/>
          <w:numId w:val="1000"/>
        </w:numPr>
        <w:pStyle w:val="Compact"/>
      </w:pPr>
      <w:r>
        <w:t xml:space="preserve">Accountant as a key factor in their investment decision.</w:t>
      </w:r>
    </w:p>
    <w:bookmarkEnd w:id="26"/>
    <w:bookmarkStart w:id="27" w:name="Xdcc61793b680bae7a86ec431eb2e876c9c36c50"/>
    <w:p>
      <w:pPr>
        <w:pStyle w:val="Heading2"/>
      </w:pPr>
      <w:r>
        <w:t xml:space="preserve">The Strategic Importance of Local Expertise</w:t>
      </w:r>
    </w:p>
    <w:p>
      <w:pPr>
        <w:pStyle w:val="FirstParagraph"/>
      </w:pPr>
      <w:r>
        <w:t xml:space="preserve">This case study illustrates that in complex economic hubs like</w:t>
      </w:r>
      <w:r>
        <w:t xml:space="preserve"> </w:t>
      </w:r>
      <w:r>
        <w:rPr>
          <w:bCs/>
          <w:b/>
        </w:rPr>
        <w:t xml:space="preserve">Malaysia Kuala Lumpur</w:t>
      </w:r>
      <w:r>
        <w:t xml:space="preserve">, the role of an accountant extends far beyond basic bookkeeping. It is a strategic function that safeguards the enterprise against regulatory risks and unlocks financial opportunities. The specific nuances of Malaysian law—from withholding tax on payments to foreign entities to the intricacies of SST (Sales and Service Tax)—require localized expertise that global software solutions cannot provide alone.</w:t>
      </w:r>
      <w:r>
        <w:t xml:space="preserve"> </w:t>
      </w:r>
      <w:r>
        <w:t xml:space="preserve">For businesses operating in</w:t>
      </w:r>
      <w:r>
        <w:t xml:space="preserve"> </w:t>
      </w:r>
      <w:r>
        <w:rPr>
          <w:bCs/>
          <w:b/>
        </w:rPr>
        <w:t xml:space="preserve">Malaysia Kuala Lumpur</w:t>
      </w:r>
      <w:r>
        <w:t xml:space="preserve">, the engagement of a competent, experienced</w:t>
      </w:r>
      <w:r>
        <w:t xml:space="preserve"> </w:t>
      </w:r>
      <w:r>
        <w:rPr>
          <w:bCs/>
          <w:b/>
        </w:rPr>
        <w:t xml:space="preserve">Accountant is not an overhead cost but a critical investment in resilience. As the digital economy continues to reshape trade practices in Southeast Asia, companies that prioritize accurate, compliant, and strategic financial management will be best positioned to thrive.</w:t>
      </w:r>
      <w:r>
        <w:rPr>
          <w:bCs/>
          <w:b/>
        </w:rPr>
        <w:t xml:space="preserve"> </w:t>
      </w:r>
      <w:r>
        <w:rPr>
          <w:bCs/>
          <w:b/>
        </w:rPr>
        <w:t xml:space="preserve">The story of NeoPay Solutions serves as a testament to the power of professional accounting standards when applied correctly within the vibrant business ecosystem of</w:t>
      </w:r>
      <w:r>
        <w:rPr>
          <w:bCs/>
          <w:b/>
        </w:rPr>
        <w:t xml:space="preserve"> </w:t>
      </w:r>
      <w:r>
        <w:rPr>
          <w:bCs/>
          <w:b/>
          <w:bCs/>
          <w:b/>
        </w:rPr>
        <w:t xml:space="preserve">Malaysia Kuala Lumpur</w:t>
      </w:r>
      <w:r>
        <w:rPr>
          <w:bCs/>
          <w:b/>
        </w:rPr>
        <w:t xml:space="preserve">. It confirms that while technology provides the tools, it is the human expertise of a dedicated</w:t>
      </w:r>
      <w:r>
        <w:rPr>
          <w:bCs/>
          <w:b/>
        </w:rPr>
        <w:t xml:space="preserve"> </w:t>
      </w:r>
      <w:r>
        <w:rPr>
          <w:bCs/>
          <w:b/>
          <w:bCs/>
          <w:b/>
        </w:rPr>
        <w:t xml:space="preserve">Accountant that ensures those tools are used to build sustainable, compliant, and prosperous enterprises.</w:t>
      </w:r>
    </w:p>
    <w:p>
      <w:pPr>
        <w:pStyle w:val="BodyText"/>
      </w:pPr>
      <w:r>
        <w:t xml:space="preserve">Prepared by Financial Strategy Division</w:t>
      </w:r>
      <w:r>
        <w:br/>
      </w:r>
      <w:r>
        <w:t xml:space="preserve">Kuala Lumpur Economic Review Unit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Financial Transformation for a Tech Startup in Malaysia Kuala Lumpur</dc:title>
  <dc:creator/>
  <dc:language>en</dc:language>
  <cp:keywords/>
  <dcterms:created xsi:type="dcterms:W3CDTF">2026-07-29T15:45:48Z</dcterms:created>
  <dcterms:modified xsi:type="dcterms:W3CDTF">2026-07-29T15:45:48Z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