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1" w:name="X2a73be85fc577e0ffd6d7835e7a2328f7376212"/>
    <w:p>
      <w:pPr>
        <w:pStyle w:val="Heading1"/>
      </w:pPr>
      <w:r>
        <w:t xml:space="preserve">Case Study: Strategic Financial Management by an Accountant 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w:t>
      </w:r>
      <w:r>
        <w:br/>
      </w:r>
      <w:r>
        <w:rPr>
          <w:bCs/>
          <w:b/>
        </w:rPr>
        <w:t xml:space="preserve">Jurisdiction:</w:t>
      </w:r>
    </w:p>
    <w:bookmarkStart w:id="20" w:name="executive-summary"/>
    <w:p>
      <w:pPr>
        <w:pStyle w:val="Heading2"/>
      </w:pPr>
      <w:r>
        <w:t xml:space="preserve">1. Executive Summary</w:t>
      </w:r>
    </w:p>
    <w:p>
      <w:pPr>
        <w:pStyle w:val="FirstParagraph"/>
      </w:pPr>
      <w:r>
        <w:t xml:space="preserve">In the heart of Europe's financial hub, the role of an</w:t>
      </w:r>
      <w:r>
        <w:t xml:space="preserve"> </w:t>
      </w:r>
      <w:r>
        <w:rPr>
          <w:bCs/>
          <w:b/>
        </w:rPr>
        <w:t xml:space="preserve">Netherlands Amsterdam Accountant</w:t>
      </w:r>
      <w:r>
        <w:t xml:space="preserve"> </w:t>
      </w:r>
      <w:r>
        <w:t xml:space="preserve">is not merely to maintain ledgers but to serve as a strategic advisor in a highly regulated and competitive environment. This case study examines the engagement between "TechGrow B.V.", a mid-sized technology startup based in Amsterdam, and their dedicated</w:t>
      </w:r>
      <w:r>
        <w:t xml:space="preserve"> </w:t>
      </w:r>
      <w:r>
        <w:rPr>
          <w:bCs/>
          <w:b/>
        </w:rPr>
        <w:t xml:space="preserve">Accountant</w:t>
      </w:r>
      <w:r>
        <w:t xml:space="preserve">. The primary objective was to restructure financial reporting, optimize tax liabilities under Dutch law, and prepare for an impending Series B funding round. By leveraging local expertise specific to the</w:t>
      </w:r>
      <w:r>
        <w:t xml:space="preserve"> </w:t>
      </w:r>
      <w:r>
        <w:rPr>
          <w:bCs/>
          <w:b/>
        </w:rPr>
        <w:t xml:space="preserve">Netherlands Amsterdam</w:t>
      </w:r>
      <w:r>
        <w:t xml:space="preserve"> </w:t>
      </w:r>
      <w:r>
        <w:t xml:space="preserve">market ecosystem, the accountant provided critical insights that transformed the company’s financial health.</w:t>
      </w:r>
    </w:p>
    <w:bookmarkEnd w:id="20"/>
    <w:bookmarkStart w:id="21" w:name="client-background-techgrow-b.v."/>
    <w:p>
      <w:pPr>
        <w:pStyle w:val="Heading2"/>
      </w:pPr>
      <w:r>
        <w:t xml:space="preserve">2. Client Background: TechGrow B.V.</w:t>
      </w:r>
    </w:p>
    <w:p>
      <w:pPr>
        <w:pStyle w:val="FirstParagraph"/>
      </w:pPr>
      <w:r>
        <w:t xml:space="preserve">TechGrow B.V., located in the innovative Buiksloterham district of</w:t>
      </w:r>
      <w:r>
        <w:t xml:space="preserve"> </w:t>
      </w:r>
      <w:r>
        <w:rPr>
          <w:bCs/>
          <w:b/>
        </w:rPr>
        <w:t xml:space="preserve">Netherlands Amsterdam</w:t>
      </w:r>
      <w:r>
        <w:t xml:space="preserve">, specializes in SaaS solutions for supply chain management. Founded three years ago by two former engineers, the company experienced rapid growth, increasing its revenue from €500k to €2.5M within eighteen months. However, this growth came at a cost: disorganized financial records, inefficient cash flow management, and a lack of clarity regarding Dutch corporate tax obligations.</w:t>
      </w:r>
    </w:p>
    <w:p>
      <w:pPr>
        <w:pStyle w:val="BodyText"/>
      </w:pPr>
      <w:r>
        <w:t xml:space="preserve">As an emerging player in the</w:t>
      </w:r>
      <w:r>
        <w:t xml:space="preserve"> </w:t>
      </w:r>
      <w:r>
        <w:rPr>
          <w:bCs/>
          <w:b/>
        </w:rPr>
        <w:t xml:space="preserve">Netherlands Amsterdam</w:t>
      </w:r>
      <w:r>
        <w:t xml:space="preserve"> </w:t>
      </w:r>
      <w:r>
        <w:t xml:space="preserve">tech ecosystem, TechGrow faced unique challenges. The local market demands high compliance standards with the Belastingdienst (Dutch Tax Authority). Without proper guidance from a qualified</w:t>
      </w:r>
      <w:r>
        <w:t xml:space="preserve"> </w:t>
      </w:r>
      <w:r>
        <w:rPr>
          <w:bCs/>
          <w:b/>
        </w:rPr>
        <w:t xml:space="preserve">Accountant</w:t>
      </w:r>
      <w:r>
        <w:t xml:space="preserve">, the founders were at risk of penalties and missed opportunities for tax incentives available to innovative startups in the region.</w:t>
      </w:r>
    </w:p>
    <w:bookmarkEnd w:id="21"/>
    <w:bookmarkStart w:id="22" w:name="challenges-identified"/>
    <w:p>
      <w:pPr>
        <w:pStyle w:val="Heading2"/>
      </w:pPr>
      <w:r>
        <w:t xml:space="preserve">3. Challenges Identified</w:t>
      </w:r>
    </w:p>
    <w:p>
      <w:pPr>
        <w:pStyle w:val="FirstParagraph"/>
      </w:pPr>
      <w:r>
        <w:t xml:space="preserve">The initial assessment by the appointed</w:t>
      </w:r>
      <w:r>
        <w:t xml:space="preserve"> </w:t>
      </w:r>
      <w:r>
        <w:rPr>
          <w:bCs/>
          <w:b/>
        </w:rPr>
        <w:t xml:space="preserve">Netherlands Amsterdam Accountant</w:t>
      </w:r>
    </w:p>
    <w:p>
      <w:pPr>
        <w:numPr>
          <w:ilvl w:val="0"/>
          <w:numId w:val="1001"/>
        </w:numPr>
        <w:pStyle w:val="Compact"/>
      </w:pPr>
      <w:r>
        <w:rPr>
          <w:bCs/>
          <w:b/>
        </w:rPr>
        <w:t xml:space="preserve">Inaccurate VAT Reporting:</w:t>
      </w:r>
    </w:p>
    <w:p>
      <w:pPr>
        <w:numPr>
          <w:ilvl w:val="0"/>
          <w:numId w:val="1001"/>
        </w:numPr>
        <w:pStyle w:val="Compact"/>
      </w:pPr>
      <w:r>
        <w:rPr>
          <w:bCs/>
          <w:b/>
        </w:rPr>
        <w:t xml:space="preserve">R&amp;D Tax Credit Mismanagement:</w:t>
      </w:r>
    </w:p>
    <w:p>
      <w:pPr>
        <w:numPr>
          <w:ilvl w:val="0"/>
          <w:numId w:val="1001"/>
        </w:numPr>
        <w:pStyle w:val="Compact"/>
      </w:pPr>
      <w:r>
        <w:rPr>
          <w:bCs/>
          <w:b/>
        </w:rPr>
        <w:t xml:space="preserve">Cash Flow Volatility:</w:t>
      </w:r>
      <w:r>
        <w:t xml:space="preserve">Netherlands Amsterdam market, accounts receivable were aging poorly. The lack of forecasting tools meant the company often struggled with payroll and vendor payments.</w:t>
      </w:r>
    </w:p>
    <w:p>
      <w:pPr>
        <w:numPr>
          <w:ilvl w:val="0"/>
          <w:numId w:val="1001"/>
        </w:numPr>
        <w:pStyle w:val="Compact"/>
      </w:pPr>
      <w:r>
        <w:rPr>
          <w:bCs/>
          <w:b/>
        </w:rPr>
        <w:t xml:space="preserve">Inadequate Board Reporting:</w:t>
      </w:r>
    </w:p>
    <w:bookmarkEnd w:id="22"/>
    <w:bookmarkStart w:id="26" w:name="Xa7dd36f3f10634e613b5c36db73534f7e714068"/>
    <w:p>
      <w:pPr>
        <w:pStyle w:val="Heading2"/>
      </w:pPr>
      <w:r>
        <w:t xml:space="preserve">4. Methodology: The Approach of the Accountant</w:t>
      </w:r>
    </w:p>
    <w:p>
      <w:pPr>
        <w:pStyle w:val="FirstParagraph"/>
      </w:pPr>
      <w:r>
        <w:t xml:space="preserve">The</w:t>
      </w:r>
      <w:r>
        <w:t xml:space="preserve"> </w:t>
      </w:r>
      <w:r>
        <w:rPr>
          <w:bCs/>
          <w:b/>
        </w:rPr>
        <w:t xml:space="preserve">Netherlands Amsterdam Accountant</w:t>
      </w:r>
    </w:p>
    <w:bookmarkStart w:id="23" w:name="phase-1-compliance-remediation"/>
    <w:p>
      <w:pPr>
        <w:pStyle w:val="Heading3"/>
      </w:pPr>
      <w:r>
        <w:t xml:space="preserve">Phase 1: Compliance Remediation</w:t>
      </w:r>
    </w:p>
    <w:p>
      <w:pPr>
        <w:pStyle w:val="FirstParagraph"/>
      </w:pPr>
      <w:r>
        <w:t xml:space="preserve">The first step was cleaning up the historical data. The</w:t>
      </w:r>
      <w:r>
        <w:t xml:space="preserve"> </w:t>
      </w:r>
      <w:r>
        <w:rPr>
          <w:bCs/>
          <w:b/>
        </w:rPr>
        <w:t xml:space="preserve">AccountantNetherlands Amsterdam</w:t>
      </w:r>
      <w:r>
        <w:t xml:space="preserve">.</w:t>
      </w:r>
    </w:p>
    <w:bookmarkEnd w:id="23"/>
    <w:bookmarkStart w:id="24" w:name="phase-2-optimization-of-fiscal-strategy"/>
    <w:p>
      <w:pPr>
        <w:pStyle w:val="Heading3"/>
      </w:pPr>
      <w:r>
        <w:t xml:space="preserve">Phase 2: Optimization of Fiscal Strategy</w:t>
      </w:r>
    </w:p>
    <w:p>
      <w:pPr>
        <w:pStyle w:val="FirstParagraph"/>
      </w:pPr>
      <w:r>
        <w:t xml:space="preserve">A significant portion of the engagement focused on maximizing tax efficiency. The</w:t>
      </w:r>
      <w:r>
        <w:t xml:space="preserve"> </w:t>
      </w:r>
      <w:r>
        <w:rPr>
          <w:bCs/>
          <w:b/>
        </w:rPr>
        <w:t xml:space="preserve">Netherlands Amsterdam Accountant</w:t>
      </w:r>
    </w:p>
    <w:bookmarkEnd w:id="24"/>
    <w:bookmarkStart w:id="25" w:name="X7cd4448530a5835a16c99856fb007137da5e5e3"/>
    <w:p>
      <w:pPr>
        <w:pStyle w:val="Heading3"/>
      </w:pPr>
      <w:r>
        <w:t xml:space="preserve">Phase 3: Financial Forecasting &amp; Investor Readiness</w:t>
      </w:r>
    </w:p>
    <w:p>
      <w:pPr>
        <w:pStyle w:val="FirstParagraph"/>
      </w:pPr>
      <w:r>
        <w:t xml:space="preserve">To prepare for funding, the</w:t>
      </w:r>
      <w:r>
        <w:t xml:space="preserve"> </w:t>
      </w:r>
      <w:r>
        <w:rPr>
          <w:bCs/>
          <w:b/>
        </w:rPr>
        <w:t xml:space="preserve">AccountantNetherlands Amsterdam</w:t>
      </w:r>
      <w:r>
        <w:t xml:space="preserve"> </w:t>
      </w:r>
      <w:r>
        <w:t xml:space="preserve">tech scene. They developed investor-grade reports highlighting Customer Acquisition Cost (CAC) and Lifetime Value (LTV), providing venture capitalists with transparent data.</w:t>
      </w:r>
    </w:p>
    <w:bookmarkEnd w:id="25"/>
    <w:bookmarkEnd w:id="26"/>
    <w:bookmarkStart w:id="27" w:name="implementation-details"/>
    <w:p>
      <w:pPr>
        <w:pStyle w:val="Heading2"/>
      </w:pPr>
      <w:r>
        <w:t xml:space="preserve">5. Implementation Details</w:t>
      </w:r>
    </w:p>
    <w:p>
      <w:pPr>
        <w:pStyle w:val="FirstParagraph"/>
      </w:pPr>
      <w:r>
        <w:t xml:space="preserve">The implementation of cloud-based accounting software, tailored for the Dutch market, was central to this project. The</w:t>
      </w:r>
      <w:r>
        <w:t xml:space="preserve"> </w:t>
      </w:r>
      <w:r>
        <w:rPr>
          <w:bCs/>
          <w:b/>
        </w:rPr>
        <w:t xml:space="preserve">Netherlands Amsterdam Accountant</w:t>
      </w:r>
    </w:p>
    <w:p>
      <w:pPr>
        <w:pStyle w:val="BodyText"/>
      </w:pPr>
      <w:r>
        <w:t xml:space="preserve">Additionally, the</w:t>
      </w:r>
      <w:r>
        <w:t xml:space="preserve"> </w:t>
      </w:r>
      <w:r>
        <w:rPr>
          <w:bCs/>
          <w:b/>
        </w:rPr>
        <w:t xml:space="preserve">AccountantNetherlands Amsterdam</w:t>
      </w:r>
    </w:p>
    <w:bookmarkEnd w:id="27"/>
    <w:bookmarkStart w:id="28" w:name="results-and-outcomes"/>
    <w:p>
      <w:pPr>
        <w:pStyle w:val="Heading2"/>
      </w:pPr>
      <w:r>
        <w:t xml:space="preserve">6. Results and Outcomes</w:t>
      </w:r>
    </w:p>
    <w:p>
      <w:pPr>
        <w:pStyle w:val="FirstParagraph"/>
      </w:pPr>
      <w:r>
        <w:t xml:space="preserve">The collaboration yielded tangible results within six months:</w:t>
      </w:r>
    </w:p>
    <w:p>
      <w:pPr>
        <w:numPr>
          <w:ilvl w:val="0"/>
          <w:numId w:val="1002"/>
        </w:numPr>
        <w:pStyle w:val="Compact"/>
      </w:pPr>
      <w:r>
        <w:rPr>
          <w:bCs/>
          <w:b/>
        </w:rPr>
        <w:t xml:space="preserve">Tax Savings:</w:t>
      </w:r>
    </w:p>
    <w:p>
      <w:pPr>
        <w:numPr>
          <w:ilvl w:val="0"/>
          <w:numId w:val="1002"/>
        </w:numPr>
        <w:pStyle w:val="Compact"/>
      </w:pPr>
      <w:r>
        <w:rPr>
          <w:bCs/>
          <w:b/>
        </w:rPr>
        <w:t xml:space="preserve">Cash Flow Improvement:</w:t>
      </w:r>
      <w:r>
        <w:t xml:space="preserve">Netherlands Amsterdam Accountant</w:t>
      </w:r>
    </w:p>
    <w:p>
      <w:pPr>
        <w:numPr>
          <w:ilvl w:val="0"/>
          <w:numId w:val="1002"/>
        </w:numPr>
        <w:pStyle w:val="Compact"/>
      </w:pPr>
      <w:r>
        <w:rPr>
          <w:bCs/>
          <w:b/>
        </w:rPr>
        <w:t xml:space="preserve">Funding Success:</w:t>
      </w:r>
      <w:r>
        <w:t xml:space="preserve">Accountant.</w:t>
      </w:r>
    </w:p>
    <w:p>
      <w:pPr>
        <w:numPr>
          <w:ilvl w:val="0"/>
          <w:numId w:val="1002"/>
        </w:numPr>
        <w:pStyle w:val="Compact"/>
      </w:pPr>
      <w:r>
        <w:rPr>
          <w:bCs/>
          <w:b/>
        </w:rPr>
        <w:t xml:space="preserve">Compliance Confidence:</w:t>
      </w:r>
    </w:p>
    <w:bookmarkEnd w:id="28"/>
    <w:bookmarkStart w:id="29" w:name="X493b4e1738d51eeae96ce00a69b55da3d23b410"/>
    <w:p>
      <w:pPr>
        <w:pStyle w:val="Heading2"/>
      </w:pPr>
      <w:r>
        <w:t xml:space="preserve">7. Analysis of the Role in Netherlands Amsterdam</w:t>
      </w:r>
    </w:p>
    <w:p>
      <w:pPr>
        <w:pStyle w:val="FirstParagraph"/>
      </w:pPr>
      <w:r>
        <w:t xml:space="preserve">This case study highlights that an</w:t>
      </w:r>
      <w:r>
        <w:t xml:space="preserve"> </w:t>
      </w:r>
      <w:r>
        <w:rPr>
          <w:bCs/>
          <w:b/>
        </w:rPr>
        <w:t xml:space="preserve">Netherlands Amsterdam AccountantNetherlands Amsterdam</w:t>
      </w:r>
      <w:r>
        <w:t xml:space="preserve"> </w:t>
      </w:r>
      <w:r>
        <w:t xml:space="preserve">financial sector requires deep local knowledge. For instance, understanding the nuances of payroll taxation in the Randstad area or navigating local municipal taxes requires specialized expertise that international firms may lack.</w:t>
      </w:r>
    </w:p>
    <w:p>
      <w:pPr>
        <w:pStyle w:val="BodyText"/>
      </w:pPr>
      <w:r>
        <w:t xml:space="preserve">The success of TechGrow underscores the importance of engaging a qualified</w:t>
      </w:r>
      <w:r>
        <w:t xml:space="preserve"> </w:t>
      </w:r>
      <w:r>
        <w:rPr>
          <w:bCs/>
          <w:b/>
        </w:rPr>
        <w:t xml:space="preserve">AccountantNetherlands Amsterdam</w:t>
      </w:r>
      <w:r>
        <w:t xml:space="preserve">, where competition for talent and capital is fierce, financial clarity provides a competitive advantage. The accountant’s ability to translate complex tax laws into strategic business decisions was pivotal.</w:t>
      </w:r>
    </w:p>
    <w:bookmarkEnd w:id="29"/>
    <w:bookmarkStart w:id="30" w:name="conclusion"/>
    <w:p>
      <w:pPr>
        <w:pStyle w:val="Heading2"/>
      </w:pPr>
      <w:r>
        <w:t xml:space="preserve">8. Conclusion</w:t>
      </w:r>
    </w:p>
    <w:p>
      <w:pPr>
        <w:pStyle w:val="FirstParagraph"/>
      </w:pPr>
      <w:r>
        <w:t xml:space="preserve">The partnership between TechGrow B.V. and their</w:t>
      </w:r>
      <w:r>
        <w:t xml:space="preserve"> </w:t>
      </w:r>
      <w:r>
        <w:rPr>
          <w:bCs/>
          <w:b/>
        </w:rPr>
        <w:t xml:space="preserve">Netherlands Amsterdam AccountantAccountantNetherlands Amsterdam</w:t>
      </w:r>
      <w:r>
        <w:t xml:space="preserve">, investing in expert accounting services is not an administrative burden but a strategic imperative for long-term success.</w:t>
      </w:r>
    </w:p>
    <w:p>
      <w:pPr>
        <w:pStyle w:val="BodyText"/>
      </w:pPr>
      <w:r>
        <w:t xml:space="preserve">This case study confirms that the synergy between agile startups and professional</w:t>
      </w:r>
      <w:r>
        <w:t xml:space="preserve"> </w:t>
      </w:r>
      <w:r>
        <w:rPr>
          <w:bCs/>
          <w:b/>
        </w:rPr>
        <w:t xml:space="preserve">Netherlands Amsterdam Accountant</w:t>
      </w:r>
    </w:p>
    <w:p>
      <w:pPr>
        <w:pStyle w:val="BodyText"/>
      </w:pPr>
      <w:r>
        <w:rPr>
          <w:iCs/>
          <w:i/>
        </w:rPr>
        <w:t xml:space="preserve">Note: This document is for illustrative purposes. All names and financial figures are fictional. The advice regarding tax laws in the Netherlands Amsterdam region should always be verified with a certified professional.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Netherlands Amsterdam</dc:title>
  <dc:creator/>
  <dc:language>en</dc:language>
  <cp:keywords/>
  <dcterms:created xsi:type="dcterms:W3CDTF">2026-07-29T04:25:10Z</dcterms:created>
  <dcterms:modified xsi:type="dcterms:W3CDTF">2026-07-29T04:25:10Z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