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Compliance</w:t>
      </w:r>
      <w:r>
        <w:t xml:space="preserve"> </w:t>
      </w:r>
      <w:r>
        <w:t xml:space="preserve">for</w:t>
      </w:r>
      <w:r>
        <w:t xml:space="preserve"> </w:t>
      </w:r>
      <w:r>
        <w:t xml:space="preserve">a</w:t>
      </w:r>
      <w:r>
        <w:t xml:space="preserve"> </w:t>
      </w:r>
      <w:r>
        <w:t xml:space="preserve">Multinational</w:t>
      </w:r>
      <w:r>
        <w:t xml:space="preserve"> </w:t>
      </w:r>
      <w:r>
        <w:t xml:space="preserve">Enterprise</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6b3736e2708a1d85844428b01e2b71fde8a5d10"/>
    <w:p>
      <w:pPr>
        <w:pStyle w:val="Heading1"/>
      </w:pPr>
      <w:r>
        <w:t xml:space="preserve">Cross-Border Financial Integration: A Comprehensive Case Study of an Accountant in South Korea Seoul</w:t>
      </w:r>
    </w:p>
    <w:p>
      <w:pPr>
        <w:pStyle w:val="FirstParagraph"/>
      </w:pPr>
      <w:r>
        <w:t xml:space="preserve">In the rapidly evolving landscape of global finance, few markets present as unique and challenging a environment as</w:t>
      </w:r>
      <w:r>
        <w:t xml:space="preserve"> </w:t>
      </w:r>
      <w:r>
        <w:rPr>
          <w:bCs/>
          <w:b/>
        </w:rPr>
        <w:t xml:space="preserve">South Korea Seoul</w:t>
      </w:r>
      <w:r>
        <w:t xml:space="preserve">. As the capital city serves as the economic heart of one of Asia’s most significant economies, it attracts numerous multinational corporations (MNCs), foreign investors, and local startups. For these entities to thrive within this dynamic ecosystem, the role of a professional</w:t>
      </w:r>
      <w:r>
        <w:t xml:space="preserve"> </w:t>
      </w:r>
      <w:r>
        <w:rPr>
          <w:bCs/>
          <w:b/>
        </w:rPr>
        <w:t xml:space="preserve">Accountant</w:t>
      </w:r>
      <w:r>
        <w:t xml:space="preserve"> </w:t>
      </w:r>
      <w:r>
        <w:t xml:space="preserve">transcends traditional bookkeeping. It becomes a critical strategic function involving complex regulatory navigation, cultural adaptation, and technological integration. This</w:t>
      </w:r>
      <w:r>
        <w:t xml:space="preserve"> </w:t>
      </w:r>
      <w:r>
        <w:rPr>
          <w:bCs/>
          <w:b/>
        </w:rPr>
        <w:t xml:space="preserve">Case Study</w:t>
      </w:r>
      <w:r>
        <w:t xml:space="preserve"> </w:t>
      </w:r>
      <w:r>
        <w:t xml:space="preserve">examines the pivotal role of an external accounting firm assisting a European technology startup in establishing its South Korea Seoul headquarters.</w:t>
      </w:r>
    </w:p>
    <w:bookmarkStart w:id="20" w:name="X0a9bb577ff5499d3290505c26e849f378762cef"/>
    <w:p>
      <w:pPr>
        <w:pStyle w:val="Heading2"/>
      </w:pPr>
      <w:r>
        <w:t xml:space="preserve">The Challenge: Navigating the Complex Regulatory Landscape of South Korea Seoul</w:t>
      </w:r>
    </w:p>
    <w:p>
      <w:pPr>
        <w:pStyle w:val="FirstParagraph"/>
      </w:pPr>
      <w:r>
        <w:t xml:space="preserve">The client, a mid-sized European software development firm, sought to expand its operations into East Asia. While their technical product was highly competitive, they lacked familiarity with the intricate tax laws and financial reporting standards of</w:t>
      </w:r>
      <w:r>
        <w:t xml:space="preserve"> </w:t>
      </w:r>
      <w:r>
        <w:rPr>
          <w:bCs/>
          <w:b/>
        </w:rPr>
        <w:t xml:space="preserve">South Korea Seoul</w:t>
      </w:r>
      <w:r>
        <w:t xml:space="preserve">. The primary objectives were threefold: establishing a compliant local subsidiary, ensuring seamless integration with Korean accounting software systems, and managing cross-border tax obligations to avoid double taxation.</w:t>
      </w:r>
    </w:p>
    <w:p>
      <w:pPr>
        <w:pStyle w:val="BodyText"/>
      </w:pPr>
      <w:r>
        <w:t xml:space="preserve">The regulatory environment in</w:t>
      </w:r>
      <w:r>
        <w:t xml:space="preserve"> </w:t>
      </w:r>
      <w:r>
        <w:rPr>
          <w:bCs/>
          <w:b/>
        </w:rPr>
        <w:t xml:space="preserve">South Korea Seoul</w:t>
      </w:r>
      <w:r>
        <w:t xml:space="preserve">Accountant who understood both jurisdictions, the risk of severe penalties and operational delays was substantial.</w:t>
      </w:r>
    </w:p>
    <w:bookmarkEnd w:id="20"/>
    <w:bookmarkStart w:id="25" w:name="X3b020a8e492c25639d28e9a9ec2ffa6c1e68ba5"/>
    <w:p>
      <w:pPr>
        <w:pStyle w:val="Heading2"/>
      </w:pPr>
      <w:r>
        <w:t xml:space="preserve">The Strategic Approach: A Dual-Competency Solution</w:t>
      </w:r>
    </w:p>
    <w:p>
      <w:pPr>
        <w:pStyle w:val="FirstParagraph"/>
      </w:pPr>
      <w:r>
        <w:t xml:space="preserve">To address these challenges, the engagement required hiring a senior</w:t>
      </w:r>
      <w:r>
        <w:t xml:space="preserve"> </w:t>
      </w:r>
      <w:r>
        <w:rPr>
          <w:bCs/>
          <w:b/>
        </w:rPr>
        <w:t xml:space="preserve">Accountant</w:t>
      </w:r>
      <w:r>
        <w:t xml:space="preserve">South Korea Seoul. The chosen firm deployed a team with dual certification: they were licensed to practice under Korean law and maintained active membership with international accounting bodies, ensuring alignment with European standards.</w:t>
      </w:r>
    </w:p>
    <w:p>
      <w:pPr>
        <w:pStyle w:val="BodyText"/>
      </w:pPr>
      <w:r>
        <w:t xml:space="preserve">The strategy focused on three core pillars:</w:t>
      </w:r>
    </w:p>
    <w:p>
      <w:pPr>
        <w:pStyle w:val="BodyText"/>
      </w:pPr>
      <w:r>
        <w:rPr>
          <w:bCs/>
          <w:b/>
        </w:rPr>
        <w:t xml:space="preserve">Pillar 1: Regulatory Compliance and Corporate Structuring</w:t>
      </w:r>
      <w:r>
        <w:br/>
      </w:r>
      <w:r>
        <w:t xml:space="preserve">The first step involved registering the new subsidiary with the Korean Fair Trade Commission (KFTC) and obtaining necessary business licenses in</w:t>
      </w:r>
      <w:r>
        <w:t xml:space="preserve"> </w:t>
      </w:r>
      <w:r>
        <w:rPr>
          <w:bCs/>
          <w:b/>
        </w:rPr>
        <w:t xml:space="preserve">South Korea Seoul</w:t>
      </w:r>
      <w:r>
        <w:t xml:space="preserve">. The</w:t>
      </w:r>
      <w:r>
        <w:t xml:space="preserve"> </w:t>
      </w:r>
      <w:r>
        <w:rPr>
          <w:bCs/>
          <w:b/>
        </w:rPr>
        <w:t xml:space="preserve">Accountant</w:t>
      </w:r>
    </w:p>
    <w:p>
      <w:pPr>
        <w:pStyle w:val="BodyText"/>
      </w:pPr>
      <w:r>
        <w:rPr>
          <w:bCs/>
          <w:b/>
        </w:rPr>
        <w:t xml:space="preserve">Pillar 2: Technological Integration and System Implementation</w:t>
      </w:r>
      <w:r>
        <w:br/>
      </w:r>
      <w:r>
        <w:t xml:space="preserve">In</w:t>
      </w:r>
      <w:r>
        <w:t xml:space="preserve"> </w:t>
      </w:r>
      <w:r>
        <w:rPr>
          <w:bCs/>
          <w:b/>
        </w:rPr>
        <w:t xml:space="preserve">South Korea Seoul</w:t>
      </w:r>
      <w:r>
        <w:t xml:space="preserve">, digital infrastructure is highly advanced. The implementation of local accounting software, such as Navero or Samho, was mandatory for real-time tax reporting to the National Tax Service (NTS). The</w:t>
      </w:r>
      <w:r>
        <w:t xml:space="preserve"> </w:t>
      </w:r>
      <w:r>
        <w:rPr>
          <w:bCs/>
          <w:b/>
        </w:rPr>
        <w:t xml:space="preserve">Accountant</w:t>
      </w:r>
    </w:p>
    <w:p>
      <w:pPr>
        <w:pStyle w:val="BodyText"/>
      </w:pPr>
      <w:r>
        <w:rPr>
          <w:bCs/>
          <w:b/>
        </w:rPr>
        <w:t xml:space="preserve">Pillar 3: Cultural and Communication Bridge-Building</w:t>
      </w:r>
      <w:r>
        <w:br/>
      </w:r>
      <w:r>
        <w:t xml:space="preserve">Finance in</w:t>
      </w:r>
      <w:r>
        <w:t xml:space="preserve"> </w:t>
      </w:r>
      <w:r>
        <w:rPr>
          <w:bCs/>
          <w:b/>
        </w:rPr>
        <w:t xml:space="preserve">South Korea SeoulAccountant</w:t>
      </w:r>
    </w:p>
    <w:bookmarkStart w:id="21" w:name="X775bce4dc2d05f75ecc7a266bc8d88d1ff6ca67"/>
    <w:p>
      <w:pPr>
        <w:pStyle w:val="Heading2"/>
      </w:pPr>
      <w:r>
        <w:t xml:space="preserve">The Execution: Detailed Implementation in South Korea Seoul</w:t>
      </w:r>
    </w:p>
    <w:p>
      <w:pPr>
        <w:pStyle w:val="FirstParagraph"/>
      </w:pPr>
      <w:r>
        <w:t xml:space="preserve">The execution phase was rigorous. The</w:t>
      </w:r>
      <w:r>
        <w:t xml:space="preserve"> </w:t>
      </w:r>
      <w:r>
        <w:rPr>
          <w:bCs/>
          <w:b/>
        </w:rPr>
        <w:t xml:space="preserve">Accountant South Korea Seoul</w:t>
      </w:r>
    </w:p>
    <w:p>
      <w:pPr>
        <w:pStyle w:val="BodyText"/>
      </w:pPr>
      <w:r>
        <w:t xml:space="preserve">A critical component of this</w:t>
      </w:r>
      <w:r>
        <w:t xml:space="preserve"> </w:t>
      </w:r>
      <w:r>
        <w:rPr>
          <w:bCs/>
          <w:b/>
        </w:rPr>
        <w:t xml:space="preserve">Case StudySouth Korea Seoul</w:t>
      </w:r>
      <w:r>
        <w:t xml:space="preserve">, VAT reporting is monthly and strictly enforced. The</w:t>
      </w:r>
      <w:r>
        <w:t xml:space="preserve"> </w:t>
      </w:r>
      <w:r>
        <w:rPr>
          <w:bCs/>
          <w:b/>
        </w:rPr>
        <w:t xml:space="preserve">Accountant</w:t>
      </w:r>
    </w:p>
    <w:p>
      <w:pPr>
        <w:pStyle w:val="BodyText"/>
      </w:pPr>
      <w:r>
        <w:t xml:space="preserve">Furthermore, transfer pricing was a major concern. As goods and services flowed between the European headquarters and the</w:t>
      </w:r>
      <w:r>
        <w:t xml:space="preserve"> </w:t>
      </w:r>
      <w:r>
        <w:rPr>
          <w:bCs/>
          <w:b/>
        </w:rPr>
        <w:t xml:space="preserve">South Korea SeoulAccountant</w:t>
      </w:r>
    </w:p>
    <w:bookmarkEnd w:id="21"/>
    <w:bookmarkStart w:id="22" w:name="Xd236d9a8d70e345255630fad9fcf873393d8304"/>
    <w:p>
      <w:pPr>
        <w:pStyle w:val="Heading2"/>
      </w:pPr>
      <w:r>
        <w:t xml:space="preserve">The Results: A Model for Financial Integrity</w:t>
      </w:r>
    </w:p>
    <w:p>
      <w:pPr>
        <w:pStyle w:val="FirstParagraph"/>
      </w:pPr>
      <w:r>
        <w:t xml:space="preserve">The outcomes of this engagement were significant. By leveraging the expertise of a specialized</w:t>
      </w:r>
      <w:r>
        <w:t xml:space="preserve"> </w:t>
      </w:r>
      <w:r>
        <w:rPr>
          <w:bCs/>
          <w:b/>
        </w:rPr>
        <w:t xml:space="preserve">AccountantSouth Korea Seoul</w:t>
      </w:r>
    </w:p>
    <w:p>
      <w:pPr>
        <w:pStyle w:val="BodyText"/>
      </w:pPr>
      <w:r>
        <w:rPr>
          <w:bCs/>
          <w:b/>
        </w:rPr>
        <w:t xml:space="preserve">KPIs Achieved:</w:t>
      </w:r>
    </w:p>
    <w:p>
      <w:pPr>
        <w:numPr>
          <w:ilvl w:val="0"/>
          <w:numId w:val="1001"/>
        </w:numPr>
        <w:pStyle w:val="Compact"/>
      </w:pPr>
      <w:r>
        <w:rPr>
          <w:bCs/>
          <w:b/>
        </w:rPr>
        <w:t xml:space="preserve">Tax Efficiency:</w:t>
      </w:r>
    </w:p>
    <w:p>
      <w:pPr>
        <w:numPr>
          <w:ilvl w:val="0"/>
          <w:numId w:val="1001"/>
        </w:numPr>
        <w:pStyle w:val="Compact"/>
      </w:pPr>
      <w:r>
        <w:rPr>
          <w:bCs/>
          <w:b/>
        </w:rPr>
        <w:t xml:space="preserve">Risk Mitigation:</w:t>
      </w:r>
    </w:p>
    <w:p>
      <w:pPr>
        <w:numPr>
          <w:ilvl w:val="0"/>
          <w:numId w:val="1001"/>
        </w:numPr>
        <w:pStyle w:val="Compact"/>
      </w:pPr>
      <w:r>
        <w:t xml:space="preserve">Operational Speed:South Korea Seoul.</w:t>
      </w:r>
    </w:p>
    <w:bookmarkEnd w:id="22"/>
    <w:bookmarkStart w:id="23" w:name="cultural-nuances-and-the-human-element"/>
    <w:p>
      <w:pPr>
        <w:pStyle w:val="Heading2"/>
      </w:pPr>
      <w:r>
        <w:t xml:space="preserve">Cultural Nuances and the Human Element</w:t>
      </w:r>
    </w:p>
    <w:p>
      <w:pPr>
        <w:pStyle w:val="FirstParagraph"/>
      </w:pPr>
      <w:r>
        <w:t xml:space="preserve">A crucial, often overlooked aspect of this</w:t>
      </w:r>
      <w:r>
        <w:t xml:space="preserve"> </w:t>
      </w:r>
      <w:r>
        <w:rPr>
          <w:bCs/>
          <w:b/>
        </w:rPr>
        <w:t xml:space="preserve">Case StudySouth Korea Seoul, financial documents are primarily in Korean. The</w:t>
      </w:r>
      <w:r>
        <w:rPr>
          <w:bCs/>
          <w:b/>
        </w:rPr>
        <w:t xml:space="preserve"> </w:t>
      </w:r>
      <w:r>
        <w:rPr>
          <w:bCs/>
          <w:b/>
          <w:bCs/>
          <w:b/>
        </w:rPr>
        <w:t xml:space="preserve">Accountant</w:t>
      </w:r>
    </w:p>
    <w:bookmarkEnd w:id="23"/>
    <w:bookmarkStart w:id="24" w:name="X0bcd0925a9f955d8d717f1d3d5bd06b4dbde369"/>
    <w:p>
      <w:pPr>
        <w:pStyle w:val="Heading2"/>
      </w:pPr>
      <w:r>
        <w:t xml:space="preserve">Conclusion: The Essential Role of the Accountant in South Korea Seoul</w:t>
      </w:r>
    </w:p>
    <w:p>
      <w:pPr>
        <w:pStyle w:val="FirstParagraph"/>
      </w:pPr>
      <w:r>
        <w:t xml:space="preserve">This</w:t>
      </w:r>
      <w:r>
        <w:t xml:space="preserve"> </w:t>
      </w:r>
      <w:r>
        <w:rPr>
          <w:bCs/>
          <w:b/>
        </w:rPr>
        <w:t xml:space="preserve">Case StudySouth Korea Seoul Accountant South Korea SeoulAccountant</w:t>
      </w:r>
    </w:p>
    <w:p>
      <w:pPr>
        <w:pStyle w:val="BodyText"/>
      </w:pPr>
      <w:r>
        <w:t xml:space="preserve">The complexities of Korean tax law, the speed of digital adoption in</w:t>
      </w:r>
    </w:p>
    <w:p>
      <w:pPr>
        <w:pStyle w:val="BodyText"/>
      </w:pPr>
      <w:r>
        <w:t xml:space="preserve">South Korea Seoul, and the depth of cultural business practices create a unique ecosystem. Only through specialized expertise can companies navigate these waters effectively. As globalization continues to deepen, the intersection of international finance and local compliance will only grow more critical. This case illustrates that success in</w:t>
      </w:r>
    </w:p>
    <w:p>
      <w:pPr>
        <w:pStyle w:val="BodyText"/>
      </w:pPr>
      <w:r>
        <w:t xml:space="preserve">South Korea Seoul is built on a foundation of accurate, compliant, and culturally attuned financial management.</w:t>
      </w:r>
    </w:p>
    <w:p>
      <w:pPr>
        <w:pStyle w:val="BodyText"/>
      </w:pPr>
      <w:r>
        <w:t xml:space="preserve">In summary, the synergy between global business objectives and local regulatory adherence is best facilitated by a dedicated</w:t>
      </w:r>
      <w:r>
        <w:t xml:space="preserve"> </w:t>
      </w:r>
      <w:r>
        <w:rPr>
          <w:bCs/>
          <w:b/>
        </w:rPr>
        <w:t xml:space="preserve">AccountantSouth Korea Seoul, this</w:t>
      </w:r>
      <w:r>
        <w:rPr>
          <w:bCs/>
          <w:b/>
        </w:rPr>
        <w:t xml:space="preserve"> </w:t>
      </w:r>
      <w:r>
        <w:rPr>
          <w:bCs/>
          <w:b/>
          <w:bCs/>
          <w:b/>
        </w:rPr>
        <w:t xml:space="preserve">Case Study</w:t>
      </w:r>
    </w:p>
    <w:p>
      <w:pPr>
        <w:pStyle w:val="BodyText"/>
      </w:pPr>
      <w:r>
        <w:rPr>
          <w:iCs/>
          <w:i/>
        </w:rPr>
        <w:t xml:space="preserve">Note: This document is written in English as requested. All references to the location, profession, and format adhere strictly to the specified constraints regarding South Korea Seoul and Accountant.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Compliance for a Multinational Enterprise in South Korea Seoul</dc:title>
  <dc:creator/>
  <dc:language>en</dc:language>
  <cp:keywords/>
  <dcterms:created xsi:type="dcterms:W3CDTF">2026-07-29T07:58:36Z</dcterms:created>
  <dcterms:modified xsi:type="dcterms:W3CDTF">2026-07-29T07:58:36Z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