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Financial</w:t>
      </w:r>
      <w:r>
        <w:t xml:space="preserve"> </w:t>
      </w:r>
      <w:r>
        <w:t xml:space="preserve">Landscape</w:t>
      </w:r>
      <w:r>
        <w:t xml:space="preserve"> </w:t>
      </w:r>
      <w:r>
        <w:t xml:space="preserve">for</w:t>
      </w:r>
      <w:r>
        <w:t xml:space="preserve"> </w:t>
      </w:r>
      <w:r>
        <w:t xml:space="preserve">an</w:t>
      </w:r>
      <w:r>
        <w:t xml:space="preserve"> </w:t>
      </w:r>
      <w:r>
        <w:t xml:space="preserve">Accountant</w:t>
      </w:r>
      <w:r>
        <w:t xml:space="preserve"> </w:t>
      </w:r>
      <w:r>
        <w:t xml:space="preserve">in</w:t>
      </w:r>
      <w:r>
        <w:t xml:space="preserve"> </w:t>
      </w:r>
      <w:r>
        <w:t xml:space="preserve">Spain</w:t>
      </w:r>
      <w:r>
        <w:t xml:space="preserve"> </w:t>
      </w:r>
      <w:r>
        <w:t xml:space="preserve">Barcelona</w:t>
      </w:r>
    </w:p>
    <w:bookmarkStart w:id="30" w:name="X03d2f5808074b8111761775849d3ec3c544d4b0"/>
    <w:p>
      <w:pPr>
        <w:pStyle w:val="Heading1"/>
      </w:pPr>
      <w:r>
        <w:t xml:space="preserve">CASE STUDY: Strategic Financial Compliance and Growth for an Accountant in Spain Barcelona</w:t>
      </w:r>
    </w:p>
    <w:p>
      <w:pPr>
        <w:pStyle w:val="FirstParagraph"/>
      </w:pPr>
      <w:r>
        <w:rPr>
          <w:bCs/>
          <w:b/>
        </w:rPr>
        <w:t xml:space="preserve">Date:</w:t>
      </w:r>
      <w:r>
        <w:t xml:space="preserve"> </w:t>
      </w:r>
      <w:r>
        <w:t xml:space="preserve">October 24, 2023</w:t>
      </w:r>
      <w:r>
        <w:br/>
      </w:r>
    </w:p>
    <w:p>
      <w:pPr>
        <w:pStyle w:val="BodyText"/>
      </w:pPr>
      <w:r>
        <w:t xml:space="preserve">The Evolution of Modern Accounting Practices in the Context of Spain Barcelona</w:t>
      </w:r>
    </w:p>
    <w:bookmarkStart w:id="20" w:name="executive-summary"/>
    <w:p>
      <w:pPr>
        <w:pStyle w:val="Heading2"/>
      </w:pPr>
      <w:r>
        <w:t xml:space="preserve">1. Executive Summary</w:t>
      </w:r>
    </w:p>
    <w:p>
      <w:pPr>
        <w:pStyle w:val="FirstParagraph"/>
      </w:pPr>
      <w:r>
        <w:t xml:space="preserve">This case study examines the complex operational dynamics faced by a mid-sized accounting firm specializing in cross-border consulting based in</w:t>
      </w:r>
      <w:r>
        <w:t xml:space="preserve"> </w:t>
      </w:r>
      <w:r>
        <w:rPr>
          <w:bCs/>
          <w:b/>
        </w:rPr>
        <w:t xml:space="preserve">Spain Barcelona</w:t>
      </w:r>
      <w:r>
        <w:t xml:space="preserve">. The primary focus is on how an</w:t>
      </w:r>
      <w:r>
        <w:t xml:space="preserve"> </w:t>
      </w:r>
      <w:r>
        <w:rPr>
          <w:bCs/>
          <w:b/>
        </w:rPr>
        <w:t xml:space="preserve">Accountant</w:t>
      </w:r>
      <w:r>
        <w:t xml:space="preserve">, operating within this specific geopolitical and economic hub, navigated the stringent regulatory frameworks of Spain while leveraging the unique business ecosystem of Catalonia. As foreign direct investment into</w:t>
      </w:r>
    </w:p>
    <w:p>
      <w:pPr>
        <w:pStyle w:val="BodyText"/>
      </w:pPr>
      <w:r>
        <w:t xml:space="preserve">Spain Barcelona continues to rise due to its status as a tech hub and tourism capital, the role of the</w:t>
      </w:r>
      <w:r>
        <w:t xml:space="preserve"> </w:t>
      </w:r>
      <w:r>
        <w:rPr>
          <w:bCs/>
          <w:b/>
        </w:rPr>
        <w:t xml:space="preserve">Accountant</w:t>
      </w:r>
      <w:r>
        <w:br/>
      </w:r>
      <w:r>
        <w:t xml:space="preserve">has evolved from simple tax compliance to strategic financial advisory. This document outlines the challenges, solutions, and outcomes for a hypothetical firm, "BcnLedger Solutions," illustrating best practices for professionals in this region.</w:t>
      </w:r>
    </w:p>
    <w:bookmarkEnd w:id="20"/>
    <w:bookmarkStart w:id="21" w:name="Xb326e8b0ff0a1d330e65a499010d5b1d4215c0c"/>
    <w:p>
      <w:pPr>
        <w:pStyle w:val="Heading2"/>
      </w:pPr>
      <w:r>
        <w:t xml:space="preserve">2. Background: The Unique Context of Spain Barcelona</w:t>
      </w:r>
    </w:p>
    <w:p>
      <w:pPr>
        <w:pStyle w:val="FirstParagraph"/>
      </w:pPr>
      <w:r>
        <w:rPr>
          <w:bCs/>
          <w:b/>
        </w:rPr>
        <w:t xml:space="preserve">Spain Barcelona</w:t>
      </w:r>
      <w:r>
        <w:br/>
      </w:r>
      <w:r>
        <w:t xml:space="preserve">serves as more than just a geographic location; it represents one of the most dynamic economic engines in Southern Europe. For any professional, understanding the local context is paramount. The city combines a robust industrial heritage with a burgeoning startup scene, particularly in fintech and green energy. Consequently, an</w:t>
      </w:r>
      <w:r>
        <w:t xml:space="preserve"> </w:t>
      </w:r>
      <w:r>
        <w:rPr>
          <w:bCs/>
          <w:b/>
        </w:rPr>
        <w:t xml:space="preserve">Accountant</w:t>
      </w:r>
      <w:r>
        <w:t xml:space="preserve"> </w:t>
      </w:r>
      <w:r>
        <w:t xml:space="preserve">working here must possess dual competencies: deep knowledge of Spanish tax law (including specific Catalan regulations) and international accounting standards (IFRS).</w:t>
      </w:r>
    </w:p>
    <w:p>
      <w:pPr>
        <w:pStyle w:val="BodyText"/>
      </w:pPr>
      <w:r>
        <w:t xml:space="preserve">The regulatory environment in</w:t>
      </w:r>
      <w:r>
        <w:t xml:space="preserve"> </w:t>
      </w:r>
      <w:r>
        <w:rPr>
          <w:bCs/>
          <w:b/>
        </w:rPr>
        <w:t xml:space="preserve">Spain Barcelona</w:t>
      </w:r>
      <w:r>
        <w:br/>
      </w:r>
      <w:r>
        <w:t xml:space="preserve">is characterized by high transparency requirements. The Spanish General Tax Law imposes rigorous deadlines for filings, including the Modelo 303 (VAT returns), Modelo 111 (payroll withholdings), and the annual corporate tax return. Furthermore, recent changes in digital taxation and anti-money laundering directives have increased the workload for every</w:t>
      </w:r>
      <w:r>
        <w:t xml:space="preserve"> </w:t>
      </w:r>
      <w:r>
        <w:rPr>
          <w:bCs/>
          <w:b/>
        </w:rPr>
        <w:t xml:space="preserve">Accountant</w:t>
      </w:r>
      <w:r>
        <w:br/>
      </w:r>
      <w:r>
        <w:t xml:space="preserve">practicing in this jurisdiction.</w:t>
      </w:r>
    </w:p>
    <w:bookmarkEnd w:id="21"/>
    <w:bookmarkStart w:id="22" w:name="problem-statement-the-compliance-crisis"/>
    <w:p>
      <w:pPr>
        <w:pStyle w:val="Heading2"/>
      </w:pPr>
      <w:r>
        <w:t xml:space="preserve">3. Problem Statement: The Compliance Crisis</w:t>
      </w:r>
    </w:p>
    <w:p>
      <w:pPr>
        <w:pStyle w:val="FirstParagraph"/>
      </w:pPr>
      <w:r>
        <w:t xml:space="preserve">BcnLedger Solutions, a firm of twelve professionals located in the Eixample district of</w:t>
      </w:r>
      <w:r>
        <w:t xml:space="preserve"> </w:t>
      </w:r>
      <w:r>
        <w:rPr>
          <w:bCs/>
          <w:b/>
        </w:rPr>
        <w:t xml:space="preserve">Spain Barcelona</w:t>
      </w:r>
      <w:r>
        <w:t xml:space="preserve">, faced a critical operational bottleneck. Approximately 60% of their clientele consisted of international startups and expatriate entrepreneurs seeking to establish headquarters in</w:t>
      </w:r>
      <w:r>
        <w:t xml:space="preserve"> </w:t>
      </w:r>
      <w:r>
        <w:rPr>
          <w:bCs/>
          <w:b/>
        </w:rPr>
        <w:t xml:space="preserve">Spain Barcelona</w:t>
      </w:r>
      <w:r>
        <w:t xml:space="preserve">. These clients struggled with:</w:t>
      </w:r>
    </w:p>
    <w:p>
      <w:pPr>
        <w:numPr>
          <w:ilvl w:val="0"/>
          <w:numId w:val="1001"/>
        </w:numPr>
        <w:pStyle w:val="Compact"/>
      </w:pPr>
      <w:r>
        <w:rPr>
          <w:bCs/>
          <w:b/>
        </w:rPr>
        <w:t xml:space="preserve">Linguistic Barriers:</w:t>
      </w:r>
      <w:r>
        <w:t xml:space="preserve"> </w:t>
      </w:r>
      <w:r>
        <w:t xml:space="preserve">Misunderstandings regarding local tax terminology and bureaucratic processes.</w:t>
      </w:r>
    </w:p>
    <w:p>
      <w:pPr>
        <w:numPr>
          <w:ilvl w:val="0"/>
          <w:numId w:val="1001"/>
        </w:numPr>
        <w:pStyle w:val="Compact"/>
      </w:pPr>
      <w:r>
        <w:t xml:space="preserve">Digital Transformation Lag:: Traditional manual entry methods were proving inefficient against the volume of digital transactions typical in Barcelona’s e-commerce sector.</w:t>
      </w:r>
    </w:p>
    <w:p>
      <w:pPr>
        <w:numPr>
          <w:ilvl w:val="0"/>
          <w:numId w:val="1001"/>
        </w:numPr>
        <w:pStyle w:val="Compact"/>
      </w:pPr>
      <w:r>
        <w:t xml:space="preserve">Fiscal Uncertainty:: Clients were unaware of specific incentives available for companies investing in Catalonia, leading to missed opportunities for tax optimization.</w:t>
      </w:r>
    </w:p>
    <w:p>
      <w:pPr>
        <w:pStyle w:val="FirstParagraph"/>
      </w:pPr>
      <w:r>
        <w:t xml:space="preserve">The core issue was not merely a lack of accounting knowledge but a failure to integrate localized, strategic advice into standard financial reporting. The firm needed an</w:t>
      </w:r>
      <w:r>
        <w:t xml:space="preserve"> </w:t>
      </w:r>
      <w:r>
        <w:rPr>
          <w:bCs/>
          <w:b/>
        </w:rPr>
        <w:t xml:space="preserve">Accountant</w:t>
      </w:r>
      <w:r>
        <w:br/>
      </w:r>
      <w:r>
        <w:t xml:space="preserve">-led transformation that could bridge the gap between technical compliance and business strategy within the specific legal framework of</w:t>
      </w:r>
      <w:r>
        <w:t xml:space="preserve"> </w:t>
      </w:r>
      <w:r>
        <w:rPr>
          <w:bCs/>
          <w:b/>
        </w:rPr>
        <w:t xml:space="preserve">Spain Barcelona</w:t>
      </w:r>
      <w:r>
        <w:t xml:space="preserve">.</w:t>
      </w:r>
    </w:p>
    <w:bookmarkEnd w:id="22"/>
    <w:bookmarkStart w:id="26" w:name="X117622511f1110f3fcedd543043af1c75d650c9"/>
    <w:p>
      <w:pPr>
        <w:pStyle w:val="Heading2"/>
      </w:pPr>
      <w:r>
        <w:t xml:space="preserve">4. Methodology: Implementing a Hybrid Advisory Model</w:t>
      </w:r>
    </w:p>
    <w:p>
      <w:pPr>
        <w:pStyle w:val="FirstParagraph"/>
      </w:pPr>
      <w:r>
        <w:t xml:space="preserve">To address these challenges, BcnLedger Solutions restructured its service delivery model. The intervention focused on three key pillars, designed specifically for the market in</w:t>
      </w:r>
      <w:r>
        <w:t xml:space="preserve"> </w:t>
      </w:r>
      <w:r>
        <w:rPr>
          <w:bCs/>
          <w:b/>
        </w:rPr>
        <w:t xml:space="preserve">Spain Barcelona</w:t>
      </w:r>
      <w:r>
        <w:t xml:space="preserve">:</w:t>
      </w:r>
    </w:p>
    <w:bookmarkStart w:id="23" w:name="Xea72268c525e6f395da28d95582b1f985c7cd8f"/>
    <w:p>
      <w:pPr>
        <w:pStyle w:val="Heading3"/>
      </w:pPr>
      <w:r>
        <w:t xml:space="preserve">A. Technological Integration and Automation</w:t>
      </w:r>
    </w:p>
    <w:p>
      <w:pPr>
        <w:pStyle w:val="FirstParagraph"/>
      </w:pPr>
      <w:r>
        <w:t xml:space="preserve">The firm implemented cloud-based accounting software compliant with the Spanish Agencia Tributaria’s e-invoicing requirements (Ley Crea y Crece). By automating data ingestion from banks and payment gateways common in</w:t>
      </w:r>
      <w:r>
        <w:t xml:space="preserve"> </w:t>
      </w:r>
      <w:r>
        <w:rPr>
          <w:bCs/>
          <w:b/>
        </w:rPr>
        <w:t xml:space="preserve">Spain Barcelona</w:t>
      </w:r>
      <w:r>
        <w:t xml:space="preserve">, the efficiency of every</w:t>
      </w:r>
    </w:p>
    <w:p>
      <w:pPr>
        <w:pStyle w:val="BodyText"/>
      </w:pPr>
      <w:r>
        <w:t xml:space="preserve">Accountant</w:t>
      </w:r>
      <w:r>
        <w:br/>
      </w:r>
      <w:r>
        <w:t xml:space="preserve">on staff increased by 40%. This allowed for real-time monitoring of VAT liabilities, reducing the risk of penalties associated with late filings.</w:t>
      </w:r>
    </w:p>
    <w:bookmarkEnd w:id="23"/>
    <w:bookmarkStart w:id="24" w:name="b.-specialized-knowledge-transfer"/>
    <w:p>
      <w:pPr>
        <w:pStyle w:val="Heading3"/>
      </w:pPr>
      <w:r>
        <w:t xml:space="preserve">B. Specialized Knowledge Transfer</w:t>
      </w:r>
    </w:p>
    <w:p>
      <w:pPr>
        <w:pStyle w:val="FirstParagraph"/>
      </w:pPr>
      <w:r>
        <w:t xml:space="preserve">The firm launched a bilingual advisory program. Every client engagement required an</w:t>
      </w:r>
      <w:r>
        <w:t xml:space="preserve"> </w:t>
      </w:r>
      <w:r>
        <w:rPr>
          <w:bCs/>
          <w:b/>
        </w:rPr>
        <w:t xml:space="preserve">Accountant</w:t>
      </w:r>
      <w:r>
        <w:br/>
      </w:r>
      <w:r>
        <w:t xml:space="preserve">who was fluent in both English and Spanish/Catalan to ensure that financial nuances were not lost in translation. This approach specifically addressed the needs of international clients entering</w:t>
      </w:r>
      <w:r>
        <w:t xml:space="preserve"> </w:t>
      </w:r>
      <w:r>
        <w:rPr>
          <w:bCs/>
          <w:b/>
        </w:rPr>
        <w:t xml:space="preserve">Spain Barcelona</w:t>
      </w:r>
      <w:r>
        <w:t xml:space="preserve">, helping them understand concepts like "Autónomo" status, social security contributions, and regional tax deductions unique to Catalonia.</w:t>
      </w:r>
    </w:p>
    <w:bookmarkEnd w:id="24"/>
    <w:bookmarkStart w:id="25" w:name="c.-strategic-tax-optimization"/>
    <w:p>
      <w:pPr>
        <w:pStyle w:val="Heading3"/>
      </w:pPr>
      <w:r>
        <w:t xml:space="preserve">C. Strategic Tax Optimization</w:t>
      </w:r>
    </w:p>
    <w:p>
      <w:pPr>
        <w:pStyle w:val="FirstParagraph"/>
      </w:pPr>
      <w:r>
        <w:t xml:space="preserve">The team conducted a comprehensive audit of existing client portfolios to identify eligibility for the "Beckham Law" (a special tax regime for incoming workers) and R&amp;D incentives offered by the Catalan government. This proactive approach transformed the role of the</w:t>
      </w:r>
      <w:r>
        <w:t xml:space="preserve"> </w:t>
      </w:r>
      <w:r>
        <w:rPr>
          <w:bCs/>
          <w:b/>
        </w:rPr>
        <w:t xml:space="preserve">Accountant</w:t>
      </w:r>
      <w:r>
        <w:br/>
      </w:r>
      <w:r>
        <w:t xml:space="preserve">from a record-keeper to a value creator.</w:t>
      </w:r>
    </w:p>
    <w:bookmarkEnd w:id="25"/>
    <w:bookmarkEnd w:id="26"/>
    <w:bookmarkStart w:id="27" w:name="results-and-impact"/>
    <w:p>
      <w:pPr>
        <w:pStyle w:val="Heading2"/>
      </w:pPr>
      <w:r>
        <w:t xml:space="preserve">5. Results and Impact</w:t>
      </w:r>
    </w:p>
    <w:p>
      <w:pPr>
        <w:pStyle w:val="FirstParagraph"/>
      </w:pPr>
      <w:r>
        <w:t xml:space="preserve">Within twelve months of implementing these changes, BcnLedger Solutions reported significant improvements:</w:t>
      </w:r>
    </w:p>
    <w:p>
      <w:pPr>
        <w:numPr>
          <w:ilvl w:val="0"/>
          <w:numId w:val="1002"/>
        </w:numPr>
        <w:pStyle w:val="Compact"/>
      </w:pPr>
      <w:r>
        <w:rPr>
          <w:bCs/>
          <w:b/>
        </w:rPr>
        <w:t xml:space="preserve">Filings Accuracy:</w:t>
      </w:r>
      <w:r>
        <w:t xml:space="preserve">A 98% reduction in error rates regarding tax submissions to the Spanish authorities.</w:t>
      </w:r>
    </w:p>
    <w:p>
      <w:pPr>
        <w:numPr>
          <w:ilvl w:val="0"/>
          <w:numId w:val="1002"/>
        </w:numPr>
        <w:pStyle w:val="Compact"/>
      </w:pPr>
      <w:r>
        <w:rPr>
          <w:bCs/>
          <w:b/>
        </w:rPr>
        <w:t xml:space="preserve">CClient Retention:</w:t>
      </w:r>
      <w:r>
        <w:t xml:space="preserve">A 35% increase in client retention, driven by the perceived value of strategic advice rather than just compliance.</w:t>
      </w:r>
    </w:p>
    <w:p>
      <w:pPr>
        <w:numPr>
          <w:ilvl w:val="0"/>
          <w:numId w:val="1002"/>
        </w:numPr>
        <w:pStyle w:val="Compact"/>
      </w:pPr>
      <w:r>
        <w:t xml:space="preserve">Economic Impact:: Clients collectively saved an estimated €1.2 million in tax liabilities through optimized strategies tailored to the</w:t>
      </w:r>
      <w:r>
        <w:t xml:space="preserve"> </w:t>
      </w:r>
      <w:r>
        <w:rPr>
          <w:bCs/>
          <w:b/>
        </w:rPr>
        <w:t xml:space="preserve">Spain Barcelona</w:t>
      </w:r>
      <w:r>
        <w:t xml:space="preserve"> </w:t>
      </w:r>
      <w:r>
        <w:t xml:space="preserve">market.</w:t>
      </w:r>
    </w:p>
    <w:p>
      <w:pPr>
        <w:numPr>
          <w:ilvl w:val="0"/>
          <w:numId w:val="1002"/>
        </w:numPr>
        <w:pStyle w:val="Compact"/>
      </w:pPr>
      <w:r>
        <w:t xml:space="preserve">Firm Growth:: The firm expanded its team by four new hires, specifically recruiting young talent trained in modern digital accounting methods.</w:t>
      </w:r>
    </w:p>
    <w:p>
      <w:pPr>
        <w:pStyle w:val="FirstParagraph"/>
      </w:pPr>
      <w:r>
        <w:t xml:space="preserve">The data confirms that an agile, tech-savvy</w:t>
      </w:r>
      <w:r>
        <w:t xml:space="preserve"> </w:t>
      </w:r>
      <w:r>
        <w:rPr>
          <w:bCs/>
          <w:b/>
        </w:rPr>
        <w:t xml:space="preserve">Accountant</w:t>
      </w:r>
      <w:r>
        <w:br/>
      </w:r>
      <w:r>
        <w:t xml:space="preserve">serves as a critical partner for businesses navigating the complexities of</w:t>
      </w:r>
      <w:r>
        <w:t xml:space="preserve"> </w:t>
      </w:r>
      <w:r>
        <w:rPr>
          <w:bCs/>
          <w:b/>
        </w:rPr>
        <w:t xml:space="preserve">Spain Barcelona</w:t>
      </w:r>
      <w:r>
        <w:t xml:space="preserve">. The ability to interpret local laws within a global business context proved to be the primary driver of success.</w:t>
      </w:r>
    </w:p>
    <w:bookmarkEnd w:id="27"/>
    <w:bookmarkStart w:id="28" w:name="discussion-and-key-takeaways"/>
    <w:p>
      <w:pPr>
        <w:pStyle w:val="Heading2"/>
      </w:pPr>
      <w:r>
        <w:t xml:space="preserve">6. Discussion and Key Takeaways</w:t>
      </w:r>
    </w:p>
    <w:p>
      <w:pPr>
        <w:pStyle w:val="FirstParagraph"/>
      </w:pPr>
      <w:r>
        <w:t xml:space="preserve">This case study highlights that being an</w:t>
      </w:r>
      <w:r>
        <w:t xml:space="preserve"> </w:t>
      </w:r>
      <w:r>
        <w:rPr>
          <w:bCs/>
          <w:b/>
        </w:rPr>
        <w:t xml:space="preserve">Accountant</w:t>
      </w:r>
      <w:r>
        <w:br/>
      </w:r>
      <w:r>
        <w:t xml:space="preserve">in</w:t>
      </w:r>
    </w:p>
    <w:p>
      <w:pPr>
        <w:pStyle w:val="BodyText"/>
      </w:pPr>
      <w:r>
        <w:t xml:space="preserve">Spain Barcelona</w:t>
      </w:r>
      <w:r>
        <w:br/>
      </w:r>
      <w:r>
        <w:t xml:space="preserve">necessitates a hybrid skill set. Pure technical proficiency is no longer sufficient in a market defined by rapid digitalization and international influx. Professionals must understand the cultural and linguistic nuances of Catalonia while maintaining strict adherence to national Spanish tax codes.</w:t>
      </w:r>
    </w:p>
    <w:p>
      <w:pPr>
        <w:pStyle w:val="BodyText"/>
      </w:pPr>
      <w:r>
        <w:t xml:space="preserve">Furthermore, the case demonstrates that the value proposition of an</w:t>
      </w:r>
    </w:p>
    <w:p>
      <w:pPr>
        <w:pStyle w:val="BodyText"/>
      </w:pPr>
      <w:r>
        <w:t xml:space="preserve">Accountant</w:t>
      </w:r>
      <w:r>
        <w:br/>
      </w:r>
      <w:r>
        <w:t xml:space="preserve">muster lies in proactive advisory. In</w:t>
      </w:r>
      <w:r>
        <w:t xml:space="preserve"> </w:t>
      </w:r>
      <w:r>
        <w:rPr>
          <w:bCs/>
          <w:b/>
        </w:rPr>
        <w:t xml:space="preserve">Spain Barcelona</w:t>
      </w:r>
      <w:r>
        <w:t xml:space="preserve">, where competition among service providers is high, differentiation comes from offering insights into regional incentives and international compliance. The integration of technology does not replace the human element; rather, it empowers the</w:t>
      </w:r>
    </w:p>
    <w:p>
      <w:pPr>
        <w:pStyle w:val="BodyText"/>
      </w:pPr>
      <w:r>
        <w:t xml:space="preserve">Accountant</w:t>
      </w:r>
      <w:r>
        <w:br/>
      </w:r>
      <w:r>
        <w:t xml:space="preserve">to focus on high-level strategy.</w:t>
      </w:r>
    </w:p>
    <w:p>
      <w:pPr>
        <w:pStyle w:val="BodyText"/>
      </w:pPr>
      <w:r>
        <w:t xml:space="preserve">For other firms operating in similar dynamic hubs across Southern Europe, this study suggests that adopting a localized yet globally aware approach is essential for sustainable growth. The specific context of</w:t>
      </w:r>
      <w:r>
        <w:t xml:space="preserve"> </w:t>
      </w:r>
      <w:r>
        <w:rPr>
          <w:bCs/>
          <w:b/>
        </w:rPr>
        <w:t xml:space="preserve">Spain Barcelona</w:t>
      </w:r>
      <w:r>
        <w:t xml:space="preserve">, with its unique blend of tourism, technology, and traditional commerce, requires an accounting philosophy that is both rigid in compliance and flexible in advisory.</w:t>
      </w:r>
    </w:p>
    <w:bookmarkEnd w:id="28"/>
    <w:bookmarkStart w:id="29" w:name="conclusion"/>
    <w:p>
      <w:pPr>
        <w:pStyle w:val="Heading2"/>
      </w:pPr>
      <w:r>
        <w:t xml:space="preserve">7. Conclusion</w:t>
      </w:r>
    </w:p>
    <w:p>
      <w:pPr>
        <w:pStyle w:val="FirstParagraph"/>
      </w:pPr>
      <w:r>
        <w:t xml:space="preserve">The trajectory of BcnLedger Solutions illustrates the modern evolution of the financial profession. As an</w:t>
      </w:r>
      <w:r>
        <w:t xml:space="preserve"> </w:t>
      </w:r>
      <w:r>
        <w:rPr>
          <w:bCs/>
          <w:b/>
        </w:rPr>
        <w:t xml:space="preserve">Accountant</w:t>
      </w:r>
      <w:r>
        <w:br/>
      </w:r>
      <w:r>
        <w:t xml:space="preserve">serving</w:t>
      </w:r>
    </w:p>
    <w:p>
      <w:pPr>
        <w:pStyle w:val="BodyText"/>
      </w:pPr>
      <w:r>
        <w:t xml:space="preserve">Spain Barcelona, one must be a custodian of compliance, a translator of culture, and a strategist for growth. The challenges identified in this case study are representative of the broader market trends in the region. By embracing technological automation and specialized bilingual advisory services, firms can not only survive but thrive.</w:t>
      </w:r>
    </w:p>
    <w:p>
      <w:pPr>
        <w:pStyle w:val="BodyText"/>
      </w:pPr>
      <w:r>
        <w:t xml:space="preserve">Spain Barcelona, the</w:t>
      </w:r>
    </w:p>
    <w:p>
      <w:pPr>
        <w:pStyle w:val="BodyText"/>
      </w:pPr>
      <w:r>
        <w:t xml:space="preserve">Accountant</w:t>
      </w:r>
      <w:r>
        <w:br/>
      </w:r>
      <w:r>
        <w:t xml:space="preserve">plays a pivotal role in ensuring business sustainability and legal integrity. This case study serves as a blueprint for professionals aiming to excel in this vibrant Mediterranean economic center.</w:t>
      </w:r>
    </w:p>
    <w:p>
      <w:pPr>
        <w:pStyle w:val="BodyText"/>
      </w:pPr>
      <w:r>
        <w:rPr>
          <w:bCs/>
          <w:b/>
        </w:rPr>
        <w:t xml:space="preserve">Note:</w:t>
      </w:r>
      <w:r>
        <w:t xml:space="preserve">This document is intended for educational purposes regarding accounting practices. Specific tax advice should always be sought from qualified professionals licensed to practice in Spain.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Financial Landscape for an Accountant in Spain Barcelona</dc:title>
  <dc:creator/>
  <dc:language>en</dc:language>
  <cp:keywords/>
  <dcterms:created xsi:type="dcterms:W3CDTF">2026-07-29T11:10:17Z</dcterms:created>
  <dcterms:modified xsi:type="dcterms:W3CDTF">2026-07-29T11:10:17Z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