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Valencia</w:t>
      </w:r>
    </w:p>
    <w:bookmarkStart w:id="32" w:name="Xb7672938d1b8ea19ffc97b0b8a44bc20c568a6e"/>
    <w:p>
      <w:pPr>
        <w:pStyle w:val="Heading1"/>
      </w:pPr>
      <w:r>
        <w:t xml:space="preserve">Case Study: Strategic Financial Management for an Accountant in Spain Valencia</w:t>
      </w:r>
    </w:p>
    <w:p>
      <w:pPr>
        <w:pStyle w:val="FirstParagraph"/>
      </w:pPr>
      <w:r>
        <w:rPr>
          <w:bCs/>
          <w:b/>
        </w:rPr>
        <w:t xml:space="preserve">Date:</w:t>
      </w:r>
      <w:r>
        <w:t xml:space="preserve"> </w:t>
      </w:r>
      <w:r>
        <w:t xml:space="preserve">October 26, 2023</w:t>
      </w:r>
      <w:r>
        <w:br/>
      </w:r>
      <w:r>
        <w:rPr>
          <w:bCs/>
          <w:b/>
        </w:rPr>
        <w:t xml:space="preserve">Type:</w:t>
      </w:r>
      <w:r>
        <w:t xml:space="preserve">B2B Case Study</w:t>
      </w:r>
      <w:r>
        <w:br/>
      </w:r>
      <w:r>
        <w:rPr>
          <w:bCs/>
          <w:b/>
        </w:rPr>
        <w:t xml:space="preserve">Focus Area:</w:t>
      </w:r>
      <w:r>
        <w:t xml:space="preserve">Tax Optimization, Regulatory Compliance, and Business Expansion in Southern Europe</w:t>
      </w:r>
    </w:p>
    <w:bookmarkStart w:id="20" w:name="executive-summary"/>
    <w:p>
      <w:pPr>
        <w:pStyle w:val="Heading2"/>
      </w:pPr>
      <w:r>
        <w:t xml:space="preserve">Executive Summary</w:t>
      </w:r>
    </w:p>
    <w:p>
      <w:pPr>
        <w:pStyle w:val="FirstParagraph"/>
      </w:pPr>
      <w:r>
        <w:t xml:space="preserve">This case study explores the intricate challenges and opportunities faced by professional Accountants operating within the vibrant economic hub of Spain Valencia. As a premier destination for digital nomads, international investors, and local entrepreneurs, Valencia presents a unique fiscal landscape that requires specialized knowledge. This document analyzes how an accountant in this specific region must navigate complex Spanish tax laws while leveraging the distinct advantages of the Valencian Community’s autonomous regulations.</w:t>
      </w:r>
    </w:p>
    <w:bookmarkEnd w:id="20"/>
    <w:bookmarkStart w:id="21" w:name="background-the-context-of-spain-valencia"/>
    <w:p>
      <w:pPr>
        <w:pStyle w:val="Heading2"/>
      </w:pPr>
      <w:r>
        <w:t xml:space="preserve">1. Background: The Context of Spain Valencia</w:t>
      </w:r>
    </w:p>
    <w:p>
      <w:pPr>
        <w:pStyle w:val="FirstParagraph"/>
      </w:pPr>
      <w:r>
        <w:rPr>
          <w:bCs/>
          <w:b/>
        </w:rPr>
        <w:t xml:space="preserve">Spain Valencia</w:t>
      </w:r>
      <w:r>
        <w:t xml:space="preserve">, located on the eastern coast of the Iberian Peninsula, has evolved from a traditional industrial and agricultural center into a modern hub for technology, tourism, and renewable energy. For an accountant serving clients in this region, understanding the local economic pulse is as critical as mastering national tax codes.</w:t>
      </w:r>
    </w:p>
    <w:p>
      <w:pPr>
        <w:pStyle w:val="BodyText"/>
      </w:pPr>
      <w:r>
        <w:t xml:space="preserve">The city boasts a lower cost of living compared to Madrid or Barcelona, attracting expatriates and remote workers who require specific financial guidance regarding residency taxes. Furthermore, the Valencian Community enjoys a high degree of fiscal autonomy. This means that while Spanish national law sets the baseline for taxation, regional authorities can adjust certain tax brackets and incentives. For an accountant in Spain Valencia, this dual-layered regulatory environment offers both complexity and opportunity.</w:t>
      </w:r>
    </w:p>
    <w:bookmarkEnd w:id="21"/>
    <w:bookmarkStart w:id="22" w:name="the-client-profile-techvalencia-s.l."/>
    <w:p>
      <w:pPr>
        <w:pStyle w:val="Heading2"/>
      </w:pPr>
      <w:r>
        <w:t xml:space="preserve">2. The Client Profile: "TechValencia S.L."</w:t>
      </w:r>
    </w:p>
    <w:p>
      <w:pPr>
        <w:pStyle w:val="FirstParagraph"/>
      </w:pPr>
      <w:r>
        <w:t xml:space="preserve">To illustrate the practical application of these concepts, we examine a fictional but representative client:</w:t>
      </w:r>
      <w:r>
        <w:t xml:space="preserve"> </w:t>
      </w:r>
      <w:r>
        <w:rPr>
          <w:bCs/>
          <w:b/>
        </w:rPr>
        <w:t xml:space="preserve">TechValencia S.L.</w:t>
      </w:r>
      <w:r>
        <w:t xml:space="preserve">, a software development firm founded by three German engineers who relocated to the city two years ago. Initially, they operated under general Spanish corporate tax rules and faced significant compliance hurdles due to:</w:t>
      </w:r>
    </w:p>
    <w:p>
      <w:pPr>
        <w:numPr>
          <w:ilvl w:val="0"/>
          <w:numId w:val="1001"/>
        </w:numPr>
        <w:pStyle w:val="Compact"/>
      </w:pPr>
      <w:r>
        <w:rPr>
          <w:bCs/>
          <w:b/>
        </w:rPr>
        <w:t xml:space="preserve">Lack of Local Nuance:</w:t>
      </w:r>
      <w:r>
        <w:t xml:space="preserve"> </w:t>
      </w:r>
      <w:r>
        <w:t xml:space="preserve">They were unaware of regional incentives available specifically in Valencia.</w:t>
      </w:r>
    </w:p>
    <w:p>
      <w:pPr>
        <w:numPr>
          <w:ilvl w:val="0"/>
          <w:numId w:val="1001"/>
        </w:numPr>
        <w:pStyle w:val="Compact"/>
      </w:pPr>
      <w:r>
        <w:rPr>
          <w:bCs/>
          <w:b/>
        </w:rPr>
        <w:t xml:space="preserve">Bureaucratic Delays:</w:t>
      </w:r>
      <w:r>
        <w:t xml:space="preserve"> </w:t>
      </w:r>
      <w:r>
        <w:t xml:space="preserve">Inefficient processing of quarterly tax filings (Modelo 303 and 390).</w:t>
      </w:r>
    </w:p>
    <w:p>
      <w:pPr>
        <w:numPr>
          <w:ilvl w:val="0"/>
          <w:numId w:val="1001"/>
        </w:numPr>
        <w:pStyle w:val="Compact"/>
      </w:pPr>
      <w:r>
        <w:rPr>
          <w:bCs/>
          <w:b/>
        </w:rPr>
        <w:t xml:space="preserve">Risk of Non-Compliance::</w:t>
      </w:r>
      <w:r>
        <w:t xml:space="preserve"> </w:t>
      </w:r>
      <w:r>
        <w:t xml:space="preserve">Misunderstanding the distinction between residency-based and source-based taxation.</w:t>
      </w:r>
    </w:p>
    <w:bookmarkEnd w:id="22"/>
    <w:bookmarkStart w:id="23" w:name="the-challenge"/>
    <w:p>
      <w:pPr>
        <w:pStyle w:val="Heading2"/>
      </w:pPr>
      <w:r>
        <w:t xml:space="preserve">3. The Challenge</w:t>
      </w:r>
    </w:p>
    <w:p>
      <w:pPr>
        <w:pStyle w:val="FirstParagraph"/>
      </w:pPr>
      <w:r>
        <w:t xml:space="preserve">TechValencia S.L. was experiencing cash flow constraints due to overpayment of corporate taxes and significant penalties related to incorrect VAT (IVA) filings for cross-border services within the EU. Additionally, the founders were personally dealing with high income tax burdens because they had not optimized their status under the "Beckham Law" or regional subsidies for new businesses.</w:t>
      </w:r>
    </w:p>
    <w:p>
      <w:pPr>
        <w:pStyle w:val="BodyText"/>
      </w:pPr>
      <w:r>
        <w:t xml:space="preserve">The core challenge was clear: The existing accounting setup was reactive rather than proactive. The accountant needed to transition from simple bookkeeping to strategic financial advisory, specifically tailored to the unique regulatory framework of</w:t>
      </w:r>
      <w:r>
        <w:t xml:space="preserve"> </w:t>
      </w:r>
      <w:r>
        <w:rPr>
          <w:bCs/>
          <w:b/>
        </w:rPr>
        <w:t xml:space="preserve">Spain Valencia</w:t>
      </w:r>
      <w:r>
        <w:t xml:space="preserve">.</w:t>
      </w:r>
    </w:p>
    <w:bookmarkEnd w:id="23"/>
    <w:bookmarkStart w:id="27" w:name="X59b6f46d8c5518abfbf1e20a1630e8cbdadac3e"/>
    <w:p>
      <w:pPr>
        <w:pStyle w:val="Heading2"/>
      </w:pPr>
      <w:r>
        <w:t xml:space="preserve">4. The Solution: A Comprehensive Accounting Strategy</w:t>
      </w:r>
    </w:p>
    <w:p>
      <w:pPr>
        <w:pStyle w:val="FirstParagraph"/>
      </w:pPr>
      <w:r>
        <w:t xml:space="preserve">The appointed Accountant implemented a three-phase strategy designed to align with both national Spanish laws and Valencian regional incentives.</w:t>
      </w:r>
    </w:p>
    <w:bookmarkStart w:id="24" w:name="Xac5baa19082e3990af99854d493e865b5b8a3ad"/>
    <w:p>
      <w:pPr>
        <w:pStyle w:val="Heading3"/>
      </w:pPr>
      <w:r>
        <w:t xml:space="preserve">A. Optimization of Corporate Tax (Impuesto sobre Sociedades)</w:t>
      </w:r>
    </w:p>
    <w:p>
      <w:pPr>
        <w:pStyle w:val="FirstParagraph"/>
      </w:pPr>
      <w:r>
        <w:t xml:space="preserve">Spain generally offers a standard corporate tax rate of 25%. However, for the first two years of operation, startups can benefit from a reduced rate of 15% on taxable income up to €1 million. The Accountant ensured that TechValencia S.L. correctly declared their status as a startup with the Mercantile Registry and local authorities.</w:t>
      </w:r>
    </w:p>
    <w:p>
      <w:pPr>
        <w:pStyle w:val="BodyText"/>
      </w:pPr>
      <w:r>
        <w:t xml:space="preserve">Moreover, the Accountant utilized the</w:t>
      </w:r>
      <w:r>
        <w:t xml:space="preserve"> </w:t>
      </w:r>
      <w:r>
        <w:rPr>
          <w:bCs/>
          <w:b/>
        </w:rPr>
        <w:t xml:space="preserve">Valencian Incentives for Investment</w:t>
      </w:r>
      <w:r>
        <w:t xml:space="preserve">. By registering certain R&amp;D activities in specific zones within Valencia, such as the València Tecnológica park, the company could claim additional deductions. This step alone reduced their effective tax burden by approximately 8%.</w:t>
      </w:r>
    </w:p>
    <w:bookmarkEnd w:id="24"/>
    <w:bookmarkStart w:id="25" w:name="Xb70c5716f1665bd551669f99ba93ff9d6c9cde4"/>
    <w:p>
      <w:pPr>
        <w:pStyle w:val="Heading3"/>
      </w:pPr>
      <w:r>
        <w:t xml:space="preserve">B. Regional Autonomy: IRPF and Local Bonuses</w:t>
      </w:r>
    </w:p>
    <w:p>
      <w:pPr>
        <w:pStyle w:val="FirstParagraph"/>
      </w:pPr>
      <w:r>
        <w:t xml:space="preserve">In Spain Valencia, the regional government (Generalitat Valenciana) has the power to adjust personal income tax rates. The Accountant reviewed the founders' personal situations. Since they were new residents, they applied for temporary residency status benefits where available. Additionally, Valencia offers specific bonuses on municipal property taxes (IBI) and activity taxes for businesses that create local jobs. The Accountant prepared all necessary documentation to secure these annual savings.</w:t>
      </w:r>
    </w:p>
    <w:bookmarkEnd w:id="25"/>
    <w:bookmarkStart w:id="26" w:name="Xd763b8c351de1ca6a9bc6348d704326a58f45c7"/>
    <w:p>
      <w:pPr>
        <w:pStyle w:val="Heading3"/>
      </w:pPr>
      <w:r>
        <w:t xml:space="preserve">C. VAT (IVA) Compliance and Cross-Border Services</w:t>
      </w:r>
    </w:p>
    <w:p>
      <w:pPr>
        <w:pStyle w:val="FirstParagraph"/>
      </w:pPr>
      <w:r>
        <w:t xml:space="preserve">The most critical error was in the handling of reverse-charge mechanisms for EU services. The Accountant implemented a new digital accounting system that automatically flagged intra-community operations. This ensured that TechValencia S.L. correctly applied the reverse charge, avoiding double taxation and eliminating previous penalties.</w:t>
      </w:r>
    </w:p>
    <w:bookmarkEnd w:id="26"/>
    <w:bookmarkEnd w:id="27"/>
    <w:bookmarkStart w:id="28" w:name="implementation-process"/>
    <w:p>
      <w:pPr>
        <w:pStyle w:val="Heading2"/>
      </w:pPr>
      <w:r>
        <w:t xml:space="preserve">5. Implementation Process</w:t>
      </w:r>
    </w:p>
    <w:p>
      <w:pPr>
        <w:pStyle w:val="FirstParagraph"/>
      </w:pPr>
      <w:r>
        <w:t xml:space="preserve">The implementation required close collaboration between the Accountant, local legal counsel in Valencia, and the client’s management team.</w:t>
      </w:r>
    </w:p>
    <w:p>
      <w:pPr>
        <w:numPr>
          <w:ilvl w:val="0"/>
          <w:numId w:val="1002"/>
        </w:numPr>
        <w:pStyle w:val="Compact"/>
      </w:pPr>
      <w:r>
        <w:rPr>
          <w:bCs/>
          <w:b/>
        </w:rPr>
        <w:t xml:space="preserve">Audit Phase:</w:t>
      </w:r>
      <w:r>
        <w:t xml:space="preserve">A complete review of past three years’ filings was conducted to identify discrepancies.</w:t>
      </w:r>
    </w:p>
    <w:p>
      <w:pPr>
        <w:numPr>
          <w:ilvl w:val="0"/>
          <w:numId w:val="1002"/>
        </w:numPr>
        <w:pStyle w:val="Compact"/>
      </w:pPr>
      <w:r>
        <w:rPr>
          <w:bCs/>
          <w:b/>
        </w:rPr>
        <w:t xml:space="preserve">Restructuring:</w:t>
      </w:r>
      <w:r>
        <w:t xml:space="preserve">The legal structure was slightly modified to maximize eligibility for regional grants aimed at tech innovation in Valencia.</w:t>
      </w:r>
    </w:p>
    <w:bookmarkEnd w:id="28"/>
    <w:bookmarkStart w:id="29" w:name="results-and-outcomes"/>
    <w:p>
      <w:pPr>
        <w:pStyle w:val="Heading2"/>
      </w:pPr>
      <w:r>
        <w:t xml:space="preserve">6. Results and Outcomes</w:t>
      </w:r>
    </w:p>
    <w:p>
      <w:pPr>
        <w:pStyle w:val="FirstParagraph"/>
      </w:pPr>
      <w:r>
        <w:t xml:space="preserve">The transformation yielded significant measurable benefits for TechValencia S.L. within the first fiscal year following the intervention:</w:t>
      </w:r>
    </w:p>
    <w:p>
      <w:pPr>
        <w:numPr>
          <w:ilvl w:val="0"/>
          <w:numId w:val="1003"/>
        </w:numPr>
        <w:pStyle w:val="Compact"/>
      </w:pPr>
      <w:r>
        <w:rPr>
          <w:bCs/>
          <w:b/>
        </w:rPr>
        <w:t xml:space="preserve">Tax Savings:</w:t>
      </w:r>
      <w:r>
        <w:t xml:space="preserve">The company reduced its overall tax liability by 18% through a combination of startup rates, regional R&amp;D deductions, and corrected VAT filings.</w:t>
      </w:r>
    </w:p>
    <w:p>
      <w:pPr>
        <w:numPr>
          <w:ilvl w:val="0"/>
          <w:numId w:val="1003"/>
        </w:numPr>
        <w:pStyle w:val="Compact"/>
      </w:pPr>
      <w:r>
        <w:rPr>
          <w:bCs/>
          <w:b/>
        </w:rPr>
        <w:t xml:space="preserve">Compliance Status:</w:t>
      </w:r>
      <w:r>
        <w:t xml:space="preserve">The firm achieved "Zero Penalty" status with the Agencia Tributaria (Spanish Tax Agency) and the Valencian Treasury.</w:t>
      </w:r>
    </w:p>
    <w:p>
      <w:pPr>
        <w:numPr>
          <w:ilvl w:val="0"/>
          <w:numId w:val="1003"/>
        </w:numPr>
        <w:pStyle w:val="Compact"/>
      </w:pPr>
      <w:r>
        <w:rPr>
          <w:bCs/>
          <w:b/>
        </w:rPr>
        <w:t xml:space="preserve">Predictability:</w:t>
      </w:r>
      <w:r>
        <w:t xml:space="preserve">The client now enjoys quarterly financial forecasting specific to the economic trends of the Valencian region.</w:t>
      </w:r>
    </w:p>
    <w:bookmarkEnd w:id="29"/>
    <w:bookmarkStart w:id="30" w:name="Xc9fdb87be8e8d8c72cde42a352a5d521f72abae"/>
    <w:p>
      <w:pPr>
        <w:pStyle w:val="Heading2"/>
      </w:pPr>
      <w:r>
        <w:t xml:space="preserve">7. Key Takeaways for Accountants in Spain Valencia</w:t>
      </w:r>
    </w:p>
    <w:p>
      <w:pPr>
        <w:pStyle w:val="FirstParagraph"/>
      </w:pPr>
      <w:r>
        <w:t xml:space="preserve">This case study highlights several crucial lessons for professionals operating as an Accountant in this dynamic market:</w:t>
      </w:r>
    </w:p>
    <w:p>
      <w:pPr>
        <w:pStyle w:val="BodyText"/>
      </w:pPr>
      <w:r>
        <w:rPr>
          <w:iCs/>
          <w:i/>
          <w:bCs/>
          <w:b/>
        </w:rPr>
        <w:t xml:space="preserve">The Power of Local Knowledge:</w:t>
      </w:r>
      <w:r>
        <w:t xml:space="preserve">National tax knowledge is insufficient. Understanding the specific decrees issued by the Generalitat Valenciana is vital for maximizing client benefits. Whether it's reductions in social security contributions for hiring locals or incentives for green energy projects, local regulations play a huge role.</w:t>
      </w:r>
    </w:p>
    <w:p>
      <w:pPr>
        <w:pStyle w:val="BodyText"/>
      </w:pPr>
      <w:r>
        <w:rPr>
          <w:bCs/>
          <w:b/>
        </w:rPr>
        <w:t xml:space="preserve">Digital Proficiency:</w:t>
      </w:r>
      <w:r>
        <w:t xml:space="preserve">The Spanish tax authority is rapidly moving towards digitalization. Accountants must be proficient in electronic filing systems and data analytics to serve clients effectively.</w:t>
      </w:r>
    </w:p>
    <w:p>
      <w:pPr>
        <w:pStyle w:val="BodyText"/>
      </w:pPr>
      <w:r>
        <w:rPr>
          <w:bCs/>
          <w:b/>
        </w:rPr>
        <w:t xml:space="preserve">Cross-Cultural Communication:</w:t>
      </w:r>
      <w:r>
        <w:t xml:space="preserve">In Spain Valencia, the client base is increasingly international. An Accountant must not only speak multiple languages but also understand the fiscal expectations of foreign investors comparing Valencia to other European hubs like Lisbon or Berlin.</w:t>
      </w:r>
    </w:p>
    <w:bookmarkEnd w:id="30"/>
    <w:bookmarkStart w:id="31" w:name="conclusion"/>
    <w:p>
      <w:pPr>
        <w:pStyle w:val="Heading2"/>
      </w:pPr>
      <w:r>
        <w:t xml:space="preserve">8. Conclusion</w:t>
      </w:r>
    </w:p>
    <w:p>
      <w:pPr>
        <w:pStyle w:val="FirstParagraph"/>
      </w:pPr>
      <w:r>
        <w:t xml:space="preserve">The role of an Accountant in Spain Valencia has evolved from mere number-cruncher to strategic business partner. The interplay between national Spanish legislation and regional Valencian autonomy creates a complex but rewarding environment for financial management. As demonstrated by the TechValencia S.L case, leveraging local incentives, ensuring rigorous digital compliance, and providing personalized cross-border tax advice can lead to substantial savings and sustainable growth.</w:t>
      </w:r>
    </w:p>
    <w:p>
      <w:pPr>
        <w:pStyle w:val="BodyText"/>
      </w:pPr>
      <w:r>
        <w:t xml:space="preserve">For businesses looking to establish themselves in this thriving coastal region, partnering with an Accountant who deeply understands the nuances of Spain Valencia is not just a regulatory necessity—it is a strategic advantage. The future of accounting in this region lies in adaptability, technological integration, and a profound respect for local fiscal culture.</w:t>
      </w:r>
    </w:p>
    <w:p>
      <w:r>
        <w:pict>
          <v:rect style="width:0;height:1.5pt" o:hralign="center" o:hrstd="t" o:hr="t"/>
        </w:pict>
      </w:r>
    </w:p>
    <w:p>
      <w:pPr>
        <w:pStyle w:val="FirstParagraph"/>
      </w:pPr>
      <w:r>
        <w:rPr>
          <w:iCs/>
          <w:i/>
        </w:rPr>
        <w:t xml:space="preserve">Note: This document is for informational purposes only and does not constitute legal or financial advice. Readers should consult with a qualified professional in Spain Valencia for specific guidance.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Financial Landscape for an Accountant in Spain Valencia</dc:title>
  <dc:creator/>
  <dc:language>en</dc:language>
  <cp:keywords/>
  <dcterms:created xsi:type="dcterms:W3CDTF">2026-07-29T11:09:29Z</dcterms:created>
  <dcterms:modified xsi:type="dcterms:W3CDTF">2026-07-29T11:09:29Z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